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7F30E" w14:textId="28A97529" w:rsidR="000C72CE" w:rsidRPr="00D86B3A" w:rsidRDefault="000C72CE" w:rsidP="00843B49">
      <w:pPr>
        <w:rPr>
          <w:rFonts w:ascii="Calibri" w:hAnsi="Calibri" w:cs="Calibri"/>
          <w:b/>
          <w:sz w:val="32"/>
          <w:szCs w:val="32"/>
        </w:rPr>
      </w:pPr>
      <w:bookmarkStart w:id="0" w:name="_GoBack"/>
      <w:bookmarkEnd w:id="0"/>
      <w:r w:rsidRPr="00D86B3A">
        <w:rPr>
          <w:rFonts w:ascii="Calibri" w:hAnsi="Calibri" w:cs="Calibri"/>
          <w:b/>
          <w:sz w:val="32"/>
          <w:szCs w:val="32"/>
        </w:rPr>
        <w:t xml:space="preserve">2021 Public Statement on Collaboration on Sustainable Finance in the UAE </w:t>
      </w:r>
    </w:p>
    <w:p w14:paraId="62440A58" w14:textId="77777777" w:rsidR="0070578C" w:rsidRDefault="0070578C" w:rsidP="00D61DE7">
      <w:pPr>
        <w:rPr>
          <w:rFonts w:ascii="Calibri" w:hAnsi="Calibri" w:cs="Calibri"/>
          <w:b/>
        </w:rPr>
      </w:pPr>
    </w:p>
    <w:p w14:paraId="674DBCE4" w14:textId="77777777" w:rsidR="00D61DE7" w:rsidRDefault="00D61DE7" w:rsidP="00D61DE7">
      <w:pPr>
        <w:rPr>
          <w:rFonts w:ascii="Calibri" w:hAnsi="Calibri" w:cs="Calibri"/>
          <w:b/>
        </w:rPr>
      </w:pPr>
      <w:r w:rsidRPr="00B153B3">
        <w:rPr>
          <w:rFonts w:ascii="Calibri" w:hAnsi="Calibri" w:cs="Calibri"/>
          <w:b/>
        </w:rPr>
        <w:t>UAE COMMITMENT TO THE PARIS AGREEMENT</w:t>
      </w:r>
    </w:p>
    <w:p w14:paraId="65782C19" w14:textId="4A87BBFD" w:rsidR="00C878E5" w:rsidRPr="00843B49" w:rsidRDefault="003C69C7" w:rsidP="00156A70">
      <w:pPr>
        <w:jc w:val="both"/>
        <w:rPr>
          <w:rFonts w:ascii="Calibri" w:hAnsi="Calibri" w:cs="Calibri"/>
          <w:color w:val="000000"/>
        </w:rPr>
      </w:pPr>
      <w:r w:rsidRPr="00843B49">
        <w:rPr>
          <w:rFonts w:ascii="Calibri" w:hAnsi="Calibri" w:cs="Calibri"/>
          <w:color w:val="000000"/>
        </w:rPr>
        <w:t>The finance sector of the United Arab Emirates (UAE) is committed to</w:t>
      </w:r>
      <w:r w:rsidR="00D10040">
        <w:rPr>
          <w:rFonts w:ascii="Calibri" w:hAnsi="Calibri" w:cs="Calibri"/>
          <w:color w:val="000000"/>
        </w:rPr>
        <w:t xml:space="preserve"> the</w:t>
      </w:r>
      <w:r w:rsidRPr="00843B49">
        <w:rPr>
          <w:rFonts w:ascii="Calibri" w:hAnsi="Calibri" w:cs="Calibri"/>
          <w:color w:val="000000"/>
        </w:rPr>
        <w:t xml:space="preserve"> delivery of the </w:t>
      </w:r>
      <w:r w:rsidR="00D10040">
        <w:rPr>
          <w:rFonts w:ascii="Calibri" w:hAnsi="Calibri" w:cs="Calibri"/>
          <w:color w:val="000000"/>
        </w:rPr>
        <w:t>UAE</w:t>
      </w:r>
      <w:r w:rsidR="00D10040" w:rsidRPr="00843B49">
        <w:rPr>
          <w:rFonts w:ascii="Calibri" w:hAnsi="Calibri" w:cs="Calibri"/>
          <w:color w:val="000000"/>
        </w:rPr>
        <w:t xml:space="preserve">’s </w:t>
      </w:r>
      <w:r w:rsidR="00D61DE7" w:rsidRPr="00765A93">
        <w:rPr>
          <w:rFonts w:ascii="Calibri" w:hAnsi="Calibri" w:cs="Calibri"/>
          <w:color w:val="000000"/>
        </w:rPr>
        <w:t xml:space="preserve">climate </w:t>
      </w:r>
      <w:r>
        <w:rPr>
          <w:rFonts w:ascii="Calibri" w:hAnsi="Calibri" w:cs="Calibri"/>
          <w:color w:val="000000"/>
        </w:rPr>
        <w:t>goals and programmes, notably the Net Zero by 2050 Strategic Initiative, the first-ever net-zero target in the Middle East and North African region. These actions reinforce</w:t>
      </w:r>
      <w:r w:rsidR="00D61DE7" w:rsidRPr="00765A93">
        <w:rPr>
          <w:rFonts w:ascii="Calibri" w:hAnsi="Calibri" w:cs="Calibri"/>
          <w:color w:val="000000"/>
        </w:rPr>
        <w:t xml:space="preserve"> </w:t>
      </w:r>
      <w:r w:rsidR="00F47421">
        <w:rPr>
          <w:rFonts w:ascii="Calibri" w:hAnsi="Calibri" w:cs="Calibri"/>
          <w:color w:val="000000"/>
        </w:rPr>
        <w:t>the</w:t>
      </w:r>
      <w:r w:rsidR="00D61DE7" w:rsidRPr="00765A93">
        <w:rPr>
          <w:rFonts w:ascii="Calibri" w:hAnsi="Calibri" w:cs="Calibri"/>
          <w:color w:val="000000"/>
        </w:rPr>
        <w:t xml:space="preserve"> achievement of the Paris Agreement as an unprecedented opportunity to strengthen our economy and </w:t>
      </w:r>
      <w:r w:rsidR="00605102">
        <w:rPr>
          <w:rFonts w:ascii="Calibri" w:hAnsi="Calibri" w:cs="Calibri"/>
          <w:color w:val="000000"/>
        </w:rPr>
        <w:t>deliver</w:t>
      </w:r>
      <w:r w:rsidR="00277DE6">
        <w:rPr>
          <w:rFonts w:ascii="Calibri" w:hAnsi="Calibri" w:cs="Calibri"/>
          <w:color w:val="000000"/>
        </w:rPr>
        <w:t xml:space="preserve"> a sustainable </w:t>
      </w:r>
      <w:r w:rsidR="00D61DE7" w:rsidRPr="00765A93">
        <w:rPr>
          <w:rFonts w:ascii="Calibri" w:hAnsi="Calibri" w:cs="Calibri"/>
          <w:color w:val="000000"/>
        </w:rPr>
        <w:t>future.</w:t>
      </w:r>
      <w:r w:rsidR="00C878E5" w:rsidRPr="00843B49">
        <w:rPr>
          <w:rFonts w:ascii="Calibri" w:hAnsi="Calibri" w:cs="Calibri"/>
          <w:color w:val="000000"/>
        </w:rPr>
        <w:t xml:space="preserve"> </w:t>
      </w:r>
    </w:p>
    <w:p w14:paraId="12600B5F" w14:textId="47761F6A" w:rsidR="00121B29" w:rsidRDefault="00D10040" w:rsidP="00AF191C">
      <w:pPr>
        <w:jc w:val="both"/>
        <w:rPr>
          <w:rFonts w:ascii="Calibri" w:hAnsi="Calibri" w:cs="Calibri"/>
          <w:color w:val="000000"/>
        </w:rPr>
      </w:pPr>
      <w:r>
        <w:rPr>
          <w:rFonts w:ascii="Calibri" w:hAnsi="Calibri" w:cs="Calibri"/>
          <w:color w:val="000000"/>
        </w:rPr>
        <w:t>This statement underlines</w:t>
      </w:r>
      <w:r w:rsidR="00112CD3">
        <w:rPr>
          <w:rFonts w:ascii="Calibri" w:hAnsi="Calibri" w:cs="Calibri"/>
          <w:color w:val="000000"/>
        </w:rPr>
        <w:t xml:space="preserve"> </w:t>
      </w:r>
      <w:r>
        <w:rPr>
          <w:rFonts w:ascii="Calibri" w:hAnsi="Calibri" w:cs="Calibri"/>
          <w:color w:val="000000"/>
        </w:rPr>
        <w:t xml:space="preserve">the acknowledgment of </w:t>
      </w:r>
      <w:r w:rsidR="00112CD3">
        <w:rPr>
          <w:rFonts w:ascii="Calibri" w:hAnsi="Calibri" w:cs="Calibri"/>
          <w:color w:val="000000"/>
        </w:rPr>
        <w:t>t</w:t>
      </w:r>
      <w:r w:rsidR="00E76CA5" w:rsidRPr="00B153B3">
        <w:rPr>
          <w:rFonts w:ascii="Calibri" w:hAnsi="Calibri" w:cs="Calibri"/>
          <w:color w:val="000000"/>
        </w:rPr>
        <w:t>he UAE’s financ</w:t>
      </w:r>
      <w:r w:rsidR="00627DA6">
        <w:rPr>
          <w:rFonts w:ascii="Calibri" w:hAnsi="Calibri" w:cs="Calibri"/>
          <w:color w:val="000000"/>
        </w:rPr>
        <w:t>ial</w:t>
      </w:r>
      <w:r w:rsidR="00E76CA5" w:rsidRPr="00B153B3">
        <w:rPr>
          <w:rFonts w:ascii="Calibri" w:hAnsi="Calibri" w:cs="Calibri"/>
          <w:color w:val="000000"/>
        </w:rPr>
        <w:t xml:space="preserve"> sector </w:t>
      </w:r>
      <w:r>
        <w:rPr>
          <w:rFonts w:ascii="Calibri" w:hAnsi="Calibri" w:cs="Calibri"/>
          <w:color w:val="000000"/>
        </w:rPr>
        <w:t>of</w:t>
      </w:r>
      <w:r w:rsidRPr="00B153B3">
        <w:rPr>
          <w:rFonts w:ascii="Calibri" w:hAnsi="Calibri" w:cs="Calibri"/>
          <w:color w:val="000000"/>
        </w:rPr>
        <w:t xml:space="preserve"> </w:t>
      </w:r>
      <w:r w:rsidR="00112CD3">
        <w:rPr>
          <w:rFonts w:ascii="Calibri" w:hAnsi="Calibri" w:cs="Calibri"/>
          <w:color w:val="000000"/>
        </w:rPr>
        <w:t xml:space="preserve">the </w:t>
      </w:r>
      <w:r w:rsidR="00E76CA5" w:rsidRPr="00B153B3">
        <w:rPr>
          <w:rFonts w:ascii="Calibri" w:hAnsi="Calibri" w:cs="Calibri"/>
          <w:color w:val="000000"/>
        </w:rPr>
        <w:t xml:space="preserve">critical </w:t>
      </w:r>
      <w:r w:rsidR="00D86B3A" w:rsidRPr="00B153B3">
        <w:rPr>
          <w:rFonts w:ascii="Calibri" w:hAnsi="Calibri" w:cs="Calibri"/>
          <w:color w:val="000000"/>
        </w:rPr>
        <w:t xml:space="preserve">role </w:t>
      </w:r>
      <w:r>
        <w:rPr>
          <w:rFonts w:ascii="Calibri" w:hAnsi="Calibri" w:cs="Calibri"/>
          <w:color w:val="000000"/>
        </w:rPr>
        <w:t>that</w:t>
      </w:r>
      <w:r w:rsidR="003C69C7">
        <w:rPr>
          <w:rFonts w:ascii="Calibri" w:hAnsi="Calibri" w:cs="Calibri"/>
          <w:color w:val="000000"/>
        </w:rPr>
        <w:t xml:space="preserve"> </w:t>
      </w:r>
      <w:r w:rsidR="000C3975">
        <w:rPr>
          <w:rFonts w:ascii="Calibri" w:hAnsi="Calibri" w:cs="Calibri"/>
          <w:color w:val="000000"/>
        </w:rPr>
        <w:t>sustainability</w:t>
      </w:r>
      <w:r w:rsidR="000C3975" w:rsidRPr="00B153B3">
        <w:rPr>
          <w:rFonts w:ascii="Calibri" w:hAnsi="Calibri" w:cs="Calibri"/>
          <w:color w:val="000000"/>
        </w:rPr>
        <w:t xml:space="preserve"> </w:t>
      </w:r>
      <w:r w:rsidR="00112CD3" w:rsidRPr="00B153B3">
        <w:rPr>
          <w:rFonts w:ascii="Calibri" w:hAnsi="Calibri" w:cs="Calibri"/>
          <w:color w:val="000000"/>
        </w:rPr>
        <w:t xml:space="preserve">efforts </w:t>
      </w:r>
      <w:r>
        <w:rPr>
          <w:rFonts w:ascii="Calibri" w:hAnsi="Calibri" w:cs="Calibri"/>
          <w:color w:val="000000"/>
        </w:rPr>
        <w:t xml:space="preserve">will </w:t>
      </w:r>
      <w:r w:rsidR="00112CD3">
        <w:rPr>
          <w:rFonts w:ascii="Calibri" w:hAnsi="Calibri" w:cs="Calibri"/>
          <w:color w:val="000000"/>
        </w:rPr>
        <w:t xml:space="preserve">play </w:t>
      </w:r>
      <w:r w:rsidR="00E76CA5" w:rsidRPr="00B153B3">
        <w:rPr>
          <w:rFonts w:ascii="Calibri" w:hAnsi="Calibri" w:cs="Calibri"/>
          <w:color w:val="000000"/>
        </w:rPr>
        <w:t xml:space="preserve">in supporting the UAE’s economic growth and diversification </w:t>
      </w:r>
      <w:r w:rsidR="00112CD3">
        <w:rPr>
          <w:rFonts w:ascii="Calibri" w:hAnsi="Calibri" w:cs="Calibri"/>
          <w:color w:val="000000"/>
        </w:rPr>
        <w:t>objectives</w:t>
      </w:r>
      <w:r w:rsidR="00BB048D">
        <w:rPr>
          <w:rFonts w:ascii="Calibri" w:hAnsi="Calibri" w:cs="Calibri"/>
          <w:color w:val="000000"/>
        </w:rPr>
        <w:t>.</w:t>
      </w:r>
      <w:r w:rsidR="00112CD3">
        <w:rPr>
          <w:rFonts w:ascii="Calibri" w:hAnsi="Calibri" w:cs="Calibri"/>
          <w:color w:val="000000"/>
        </w:rPr>
        <w:t xml:space="preserve"> </w:t>
      </w:r>
      <w:r w:rsidR="003C69C7">
        <w:rPr>
          <w:rFonts w:ascii="Calibri" w:hAnsi="Calibri" w:cs="Calibri"/>
          <w:color w:val="000000"/>
        </w:rPr>
        <w:t xml:space="preserve">In addition to the </w:t>
      </w:r>
      <w:r w:rsidR="003C69C7" w:rsidRPr="0023277C">
        <w:rPr>
          <w:rFonts w:ascii="Calibri" w:hAnsi="Calibri" w:cs="Calibri"/>
          <w:color w:val="000000"/>
        </w:rPr>
        <w:t>Net Zero by 2050 Strategic Initiative</w:t>
      </w:r>
      <w:r w:rsidR="003C69C7">
        <w:rPr>
          <w:rFonts w:ascii="Calibri" w:hAnsi="Calibri" w:cs="Calibri"/>
          <w:color w:val="000000"/>
        </w:rPr>
        <w:t>, t</w:t>
      </w:r>
      <w:r w:rsidR="00112CD3">
        <w:rPr>
          <w:rFonts w:ascii="Calibri" w:hAnsi="Calibri" w:cs="Calibri"/>
          <w:color w:val="000000"/>
        </w:rPr>
        <w:t xml:space="preserve">hese efforts are guided by </w:t>
      </w:r>
      <w:r w:rsidR="00E76CA5" w:rsidRPr="00B153B3">
        <w:rPr>
          <w:rFonts w:ascii="Calibri" w:hAnsi="Calibri" w:cs="Calibri"/>
          <w:color w:val="000000"/>
        </w:rPr>
        <w:t xml:space="preserve">the 2020 Nationally Determined Contribution, with its target to reduce greenhouse gases </w:t>
      </w:r>
      <w:r w:rsidR="00112CD3">
        <w:rPr>
          <w:rFonts w:ascii="Calibri" w:hAnsi="Calibri" w:cs="Calibri"/>
          <w:color w:val="000000"/>
        </w:rPr>
        <w:t xml:space="preserve">by </w:t>
      </w:r>
      <w:r w:rsidR="00E76CA5" w:rsidRPr="00B153B3">
        <w:rPr>
          <w:rFonts w:ascii="Calibri" w:hAnsi="Calibri" w:cs="Calibri"/>
          <w:color w:val="000000"/>
        </w:rPr>
        <w:t>23.5% by 2030,</w:t>
      </w:r>
      <w:r w:rsidR="00605102">
        <w:rPr>
          <w:rFonts w:ascii="Calibri" w:hAnsi="Calibri" w:cs="Calibri"/>
          <w:color w:val="000000"/>
        </w:rPr>
        <w:t xml:space="preserve"> </w:t>
      </w:r>
      <w:r w:rsidR="00E76CA5" w:rsidRPr="00B153B3">
        <w:rPr>
          <w:rFonts w:ascii="Calibri" w:hAnsi="Calibri" w:cs="Calibri"/>
          <w:color w:val="000000"/>
        </w:rPr>
        <w:t>as well as</w:t>
      </w:r>
      <w:r>
        <w:rPr>
          <w:rFonts w:ascii="Calibri" w:hAnsi="Calibri" w:cs="Calibri"/>
          <w:color w:val="000000"/>
        </w:rPr>
        <w:t xml:space="preserve"> several other</w:t>
      </w:r>
      <w:r w:rsidR="00E76CA5" w:rsidRPr="00B153B3">
        <w:rPr>
          <w:rFonts w:ascii="Calibri" w:hAnsi="Calibri" w:cs="Calibri"/>
          <w:color w:val="000000"/>
        </w:rPr>
        <w:t xml:space="preserve"> </w:t>
      </w:r>
      <w:r w:rsidR="00112CD3" w:rsidRPr="000B4D38">
        <w:rPr>
          <w:rFonts w:ascii="Calibri" w:hAnsi="Calibri" w:cs="Calibri"/>
          <w:color w:val="000000"/>
        </w:rPr>
        <w:t xml:space="preserve">defined </w:t>
      </w:r>
      <w:r w:rsidR="00E76CA5" w:rsidRPr="000B4D38">
        <w:rPr>
          <w:rFonts w:ascii="Calibri" w:hAnsi="Calibri" w:cs="Calibri"/>
          <w:color w:val="000000"/>
        </w:rPr>
        <w:t xml:space="preserve">targets </w:t>
      </w:r>
      <w:r w:rsidR="00112CD3" w:rsidRPr="000B4D38">
        <w:rPr>
          <w:rFonts w:ascii="Calibri" w:hAnsi="Calibri" w:cs="Calibri"/>
          <w:color w:val="000000"/>
        </w:rPr>
        <w:t xml:space="preserve">for </w:t>
      </w:r>
      <w:r w:rsidR="00E76CA5" w:rsidRPr="000B4D38">
        <w:rPr>
          <w:rFonts w:ascii="Calibri" w:hAnsi="Calibri" w:cs="Calibri"/>
          <w:color w:val="000000"/>
        </w:rPr>
        <w:t>renewable energy, green buildings, climate-smart agriculture, biodiversity conservation, and other dimensions of climate action</w:t>
      </w:r>
      <w:r w:rsidR="00AF191C" w:rsidRPr="000B4D38">
        <w:rPr>
          <w:rFonts w:ascii="Calibri" w:hAnsi="Calibri" w:cs="Calibri"/>
          <w:color w:val="000000"/>
        </w:rPr>
        <w:t>.</w:t>
      </w:r>
      <w:r w:rsidR="00AF191C">
        <w:rPr>
          <w:rFonts w:ascii="Calibri" w:hAnsi="Calibri" w:cs="Calibri"/>
          <w:color w:val="000000"/>
        </w:rPr>
        <w:t xml:space="preserve"> </w:t>
      </w:r>
    </w:p>
    <w:p w14:paraId="3ACF9479" w14:textId="183CD180" w:rsidR="0066723A" w:rsidRPr="00B153B3" w:rsidRDefault="00D10040" w:rsidP="00AF191C">
      <w:pPr>
        <w:jc w:val="both"/>
        <w:rPr>
          <w:rFonts w:ascii="Calibri" w:hAnsi="Calibri" w:cs="Calibri"/>
          <w:color w:val="000000"/>
        </w:rPr>
      </w:pPr>
      <w:r>
        <w:rPr>
          <w:rFonts w:ascii="Calibri" w:hAnsi="Calibri" w:cs="Calibri"/>
          <w:color w:val="000000"/>
        </w:rPr>
        <w:t xml:space="preserve">In this context, creating the </w:t>
      </w:r>
      <w:r w:rsidR="000B4D38">
        <w:rPr>
          <w:rFonts w:ascii="Calibri" w:hAnsi="Calibri" w:cs="Calibri"/>
          <w:color w:val="000000"/>
        </w:rPr>
        <w:t xml:space="preserve">opportunity for </w:t>
      </w:r>
      <w:r w:rsidR="00765A93" w:rsidRPr="00765A93">
        <w:rPr>
          <w:rFonts w:ascii="Calibri" w:hAnsi="Calibri" w:cs="Calibri"/>
          <w:color w:val="000000"/>
        </w:rPr>
        <w:t xml:space="preserve">private capital </w:t>
      </w:r>
      <w:r w:rsidR="00FA5318">
        <w:rPr>
          <w:rFonts w:ascii="Calibri" w:hAnsi="Calibri" w:cs="Calibri"/>
          <w:color w:val="000000"/>
        </w:rPr>
        <w:t>investment</w:t>
      </w:r>
      <w:r>
        <w:rPr>
          <w:rFonts w:ascii="Calibri" w:hAnsi="Calibri" w:cs="Calibri"/>
          <w:color w:val="000000"/>
        </w:rPr>
        <w:t>s</w:t>
      </w:r>
      <w:r w:rsidR="00121B29">
        <w:rPr>
          <w:rFonts w:ascii="Calibri" w:hAnsi="Calibri" w:cs="Calibri"/>
          <w:color w:val="000000"/>
        </w:rPr>
        <w:t xml:space="preserve"> </w:t>
      </w:r>
      <w:r w:rsidR="00121B29" w:rsidRPr="00765A93">
        <w:rPr>
          <w:rFonts w:ascii="Calibri" w:hAnsi="Calibri" w:cs="Calibri"/>
          <w:color w:val="000000"/>
        </w:rPr>
        <w:t xml:space="preserve">is </w:t>
      </w:r>
      <w:r>
        <w:rPr>
          <w:rFonts w:ascii="Calibri" w:hAnsi="Calibri" w:cs="Calibri"/>
          <w:color w:val="000000"/>
        </w:rPr>
        <w:t>essential</w:t>
      </w:r>
      <w:r w:rsidRPr="00765A93">
        <w:rPr>
          <w:rFonts w:ascii="Calibri" w:hAnsi="Calibri" w:cs="Calibri"/>
          <w:color w:val="000000"/>
        </w:rPr>
        <w:t xml:space="preserve"> </w:t>
      </w:r>
      <w:r w:rsidR="00121B29">
        <w:rPr>
          <w:rFonts w:ascii="Calibri" w:hAnsi="Calibri" w:cs="Calibri"/>
          <w:color w:val="000000"/>
        </w:rPr>
        <w:t xml:space="preserve">for </w:t>
      </w:r>
      <w:r w:rsidR="00121B29" w:rsidRPr="00765A93">
        <w:rPr>
          <w:rFonts w:ascii="Calibri" w:hAnsi="Calibri" w:cs="Calibri"/>
          <w:color w:val="000000"/>
        </w:rPr>
        <w:t xml:space="preserve">the UAE to </w:t>
      </w:r>
      <w:r w:rsidR="00121B29">
        <w:rPr>
          <w:rFonts w:ascii="Calibri" w:hAnsi="Calibri" w:cs="Calibri"/>
          <w:color w:val="000000"/>
        </w:rPr>
        <w:t xml:space="preserve">continue </w:t>
      </w:r>
      <w:r>
        <w:rPr>
          <w:rFonts w:ascii="Calibri" w:hAnsi="Calibri" w:cs="Calibri"/>
          <w:color w:val="000000"/>
        </w:rPr>
        <w:t xml:space="preserve">on the </w:t>
      </w:r>
      <w:r w:rsidR="00121B29">
        <w:rPr>
          <w:rFonts w:ascii="Calibri" w:hAnsi="Calibri" w:cs="Calibri"/>
          <w:color w:val="000000"/>
        </w:rPr>
        <w:t xml:space="preserve">sustainable </w:t>
      </w:r>
      <w:r w:rsidR="00121B29" w:rsidRPr="00765A93">
        <w:rPr>
          <w:rFonts w:ascii="Calibri" w:hAnsi="Calibri" w:cs="Calibri"/>
          <w:color w:val="000000"/>
        </w:rPr>
        <w:t>develop</w:t>
      </w:r>
      <w:r w:rsidR="00121B29">
        <w:rPr>
          <w:rFonts w:ascii="Calibri" w:hAnsi="Calibri" w:cs="Calibri"/>
          <w:color w:val="000000"/>
        </w:rPr>
        <w:t>ment</w:t>
      </w:r>
      <w:r>
        <w:rPr>
          <w:rFonts w:ascii="Calibri" w:hAnsi="Calibri" w:cs="Calibri"/>
          <w:color w:val="000000"/>
        </w:rPr>
        <w:t xml:space="preserve"> path</w:t>
      </w:r>
      <w:r w:rsidR="00121B29">
        <w:rPr>
          <w:rFonts w:ascii="Calibri" w:hAnsi="Calibri" w:cs="Calibri"/>
          <w:color w:val="000000"/>
        </w:rPr>
        <w:t>,</w:t>
      </w:r>
      <w:r w:rsidR="00121B29" w:rsidRPr="00765A93">
        <w:rPr>
          <w:rFonts w:ascii="Calibri" w:hAnsi="Calibri" w:cs="Calibri"/>
          <w:color w:val="000000"/>
        </w:rPr>
        <w:t xml:space="preserve"> ensure the stability of the financial system,</w:t>
      </w:r>
      <w:r w:rsidR="00121B29">
        <w:rPr>
          <w:rFonts w:ascii="Calibri" w:hAnsi="Calibri" w:cs="Calibri"/>
          <w:color w:val="000000"/>
        </w:rPr>
        <w:t xml:space="preserve"> </w:t>
      </w:r>
      <w:r>
        <w:rPr>
          <w:rFonts w:ascii="Calibri" w:hAnsi="Calibri" w:cs="Calibri"/>
          <w:color w:val="000000"/>
        </w:rPr>
        <w:t>promote</w:t>
      </w:r>
      <w:r w:rsidR="00121B29" w:rsidRPr="00765A93">
        <w:rPr>
          <w:rFonts w:ascii="Calibri" w:hAnsi="Calibri" w:cs="Calibri"/>
          <w:color w:val="000000"/>
        </w:rPr>
        <w:t xml:space="preserve"> transparency and </w:t>
      </w:r>
      <w:r>
        <w:rPr>
          <w:rFonts w:ascii="Calibri" w:hAnsi="Calibri" w:cs="Calibri"/>
          <w:color w:val="000000"/>
        </w:rPr>
        <w:t>deliver long term sustainable development benefits</w:t>
      </w:r>
      <w:r w:rsidR="00121B29" w:rsidRPr="00765A93">
        <w:rPr>
          <w:rFonts w:ascii="Calibri" w:hAnsi="Calibri" w:cs="Calibri"/>
          <w:color w:val="000000"/>
        </w:rPr>
        <w:t>.</w:t>
      </w:r>
      <w:r w:rsidR="00121B29">
        <w:rPr>
          <w:rFonts w:ascii="Calibri" w:hAnsi="Calibri" w:cs="Calibri"/>
          <w:color w:val="000000"/>
        </w:rPr>
        <w:t xml:space="preserve"> Creating such opportunities</w:t>
      </w:r>
      <w:r w:rsidR="00FA5318">
        <w:rPr>
          <w:rFonts w:ascii="Calibri" w:hAnsi="Calibri" w:cs="Calibri"/>
          <w:color w:val="000000"/>
        </w:rPr>
        <w:t xml:space="preserve"> </w:t>
      </w:r>
      <w:r w:rsidR="00765A93" w:rsidRPr="00765A93">
        <w:rPr>
          <w:rFonts w:ascii="Calibri" w:hAnsi="Calibri" w:cs="Calibri"/>
          <w:color w:val="000000"/>
        </w:rPr>
        <w:t xml:space="preserve">requires a comprehensive </w:t>
      </w:r>
      <w:r w:rsidR="00FA5318">
        <w:rPr>
          <w:rFonts w:ascii="Calibri" w:hAnsi="Calibri" w:cs="Calibri"/>
          <w:color w:val="000000"/>
        </w:rPr>
        <w:t>effort on the part of the UAE</w:t>
      </w:r>
      <w:r w:rsidR="00121B29">
        <w:rPr>
          <w:rFonts w:ascii="Calibri" w:hAnsi="Calibri" w:cs="Calibri"/>
          <w:color w:val="000000"/>
        </w:rPr>
        <w:t xml:space="preserve"> to foster </w:t>
      </w:r>
      <w:r>
        <w:rPr>
          <w:rFonts w:ascii="Calibri" w:hAnsi="Calibri" w:cs="Calibri"/>
          <w:color w:val="000000"/>
        </w:rPr>
        <w:t>an environment for</w:t>
      </w:r>
      <w:r w:rsidR="00121B29">
        <w:rPr>
          <w:rFonts w:ascii="Calibri" w:hAnsi="Calibri" w:cs="Calibri"/>
          <w:color w:val="000000"/>
        </w:rPr>
        <w:t xml:space="preserve"> sustainable finance</w:t>
      </w:r>
      <w:r>
        <w:rPr>
          <w:rFonts w:ascii="Calibri" w:hAnsi="Calibri" w:cs="Calibri"/>
          <w:color w:val="000000"/>
        </w:rPr>
        <w:t xml:space="preserve"> to thrive</w:t>
      </w:r>
      <w:r w:rsidR="00FA5318">
        <w:rPr>
          <w:rFonts w:ascii="Calibri" w:hAnsi="Calibri" w:cs="Calibri"/>
          <w:color w:val="000000"/>
        </w:rPr>
        <w:t xml:space="preserve">. </w:t>
      </w:r>
      <w:r w:rsidR="00765A93" w:rsidRPr="00765A93">
        <w:rPr>
          <w:rFonts w:ascii="Calibri" w:hAnsi="Calibri" w:cs="Calibri"/>
          <w:color w:val="000000"/>
        </w:rPr>
        <w:t xml:space="preserve"> </w:t>
      </w:r>
    </w:p>
    <w:p w14:paraId="1F6D405E" w14:textId="77777777" w:rsidR="00D86B3A" w:rsidRDefault="00D86B3A" w:rsidP="0066723A">
      <w:pPr>
        <w:rPr>
          <w:rFonts w:ascii="Calibri" w:hAnsi="Calibri" w:cs="Calibri"/>
          <w:b/>
          <w:bCs/>
        </w:rPr>
      </w:pPr>
    </w:p>
    <w:p w14:paraId="487FBCE0" w14:textId="13BB9C70" w:rsidR="00D4314E" w:rsidRDefault="0066723A" w:rsidP="0066723A">
      <w:pPr>
        <w:rPr>
          <w:rFonts w:ascii="Calibri" w:hAnsi="Calibri" w:cs="Calibri"/>
          <w:b/>
          <w:bCs/>
        </w:rPr>
      </w:pPr>
      <w:r w:rsidRPr="00B153B3">
        <w:rPr>
          <w:rFonts w:ascii="Calibri" w:hAnsi="Calibri" w:cs="Calibri"/>
          <w:b/>
          <w:bCs/>
        </w:rPr>
        <w:t>SCALING UP SUSTAI</w:t>
      </w:r>
      <w:r w:rsidR="00E43308">
        <w:rPr>
          <w:rFonts w:ascii="Calibri" w:hAnsi="Calibri" w:cs="Calibri"/>
          <w:b/>
          <w:bCs/>
        </w:rPr>
        <w:t>NA</w:t>
      </w:r>
      <w:r w:rsidRPr="00B153B3">
        <w:rPr>
          <w:rFonts w:ascii="Calibri" w:hAnsi="Calibri" w:cs="Calibri"/>
          <w:b/>
          <w:bCs/>
        </w:rPr>
        <w:t>BLE FINANCE</w:t>
      </w:r>
    </w:p>
    <w:p w14:paraId="35057608" w14:textId="77777777" w:rsidR="00EB1362" w:rsidRDefault="0066723A" w:rsidP="00D86B3A">
      <w:pPr>
        <w:jc w:val="both"/>
      </w:pPr>
      <w:r w:rsidRPr="00B153B3">
        <w:rPr>
          <w:rFonts w:ascii="Calibri" w:hAnsi="Calibri" w:cs="Calibri"/>
          <w:color w:val="000000"/>
        </w:rPr>
        <w:t xml:space="preserve">The financial services sector </w:t>
      </w:r>
      <w:r w:rsidR="004A1845">
        <w:rPr>
          <w:rFonts w:ascii="Calibri" w:hAnsi="Calibri" w:cs="Calibri"/>
          <w:color w:val="000000"/>
        </w:rPr>
        <w:t xml:space="preserve">should </w:t>
      </w:r>
      <w:r w:rsidR="005C0299">
        <w:rPr>
          <w:rFonts w:ascii="Calibri" w:hAnsi="Calibri" w:cs="Calibri"/>
          <w:color w:val="000000"/>
        </w:rPr>
        <w:t xml:space="preserve">aim to </w:t>
      </w:r>
      <w:r w:rsidRPr="00B153B3">
        <w:rPr>
          <w:rFonts w:ascii="Calibri" w:hAnsi="Calibri" w:cs="Calibri"/>
          <w:color w:val="000000"/>
        </w:rPr>
        <w:t xml:space="preserve">provide an environment </w:t>
      </w:r>
      <w:r w:rsidR="00F47421">
        <w:rPr>
          <w:rFonts w:ascii="Calibri" w:hAnsi="Calibri" w:cs="Calibri"/>
          <w:color w:val="000000"/>
        </w:rPr>
        <w:t>conducive towards</w:t>
      </w:r>
      <w:r w:rsidR="00F47421" w:rsidRPr="00B153B3">
        <w:rPr>
          <w:rFonts w:ascii="Calibri" w:hAnsi="Calibri" w:cs="Calibri"/>
          <w:color w:val="000000"/>
        </w:rPr>
        <w:t xml:space="preserve"> </w:t>
      </w:r>
      <w:r w:rsidRPr="00B153B3">
        <w:rPr>
          <w:rFonts w:ascii="Calibri" w:hAnsi="Calibri" w:cs="Calibri"/>
          <w:color w:val="000000"/>
        </w:rPr>
        <w:t>diversifie</w:t>
      </w:r>
      <w:r w:rsidR="00E43308">
        <w:rPr>
          <w:rFonts w:ascii="Calibri" w:hAnsi="Calibri" w:cs="Calibri"/>
          <w:color w:val="000000"/>
        </w:rPr>
        <w:t>d</w:t>
      </w:r>
      <w:r w:rsidRPr="00B153B3">
        <w:rPr>
          <w:rFonts w:ascii="Calibri" w:hAnsi="Calibri" w:cs="Calibri"/>
          <w:color w:val="000000"/>
        </w:rPr>
        <w:t xml:space="preserve"> innovative sustainable finance products, as well as the </w:t>
      </w:r>
      <w:r w:rsidR="005C31CD" w:rsidRPr="00D86B3A">
        <w:rPr>
          <w:rFonts w:ascii="Calibri" w:hAnsi="Calibri" w:cs="Calibri"/>
        </w:rPr>
        <w:t xml:space="preserve">opportunity for the </w:t>
      </w:r>
      <w:r w:rsidRPr="00D86B3A">
        <w:rPr>
          <w:rFonts w:ascii="Calibri" w:hAnsi="Calibri" w:cs="Calibri"/>
        </w:rPr>
        <w:t>mobili</w:t>
      </w:r>
      <w:r w:rsidR="00605102" w:rsidRPr="00D86B3A">
        <w:rPr>
          <w:rFonts w:ascii="Calibri" w:hAnsi="Calibri" w:cs="Calibri"/>
        </w:rPr>
        <w:t>s</w:t>
      </w:r>
      <w:r w:rsidRPr="00D86B3A">
        <w:rPr>
          <w:rFonts w:ascii="Calibri" w:hAnsi="Calibri" w:cs="Calibri"/>
        </w:rPr>
        <w:t xml:space="preserve">ation of private capital towards environmentally sustainable and climate-resilient investments. </w:t>
      </w:r>
      <w:r w:rsidR="00EB1362" w:rsidRPr="00D86B3A">
        <w:rPr>
          <w:rFonts w:ascii="Calibri" w:hAnsi="Calibri" w:cs="Calibri"/>
        </w:rPr>
        <w:t xml:space="preserve">Sustainable finance is therefore a key pillar in enabling both the UAE and broader stakeholders to achieve net-zero emissions targets. </w:t>
      </w:r>
    </w:p>
    <w:p w14:paraId="677DABD3" w14:textId="56A41888" w:rsidR="00765A93" w:rsidRPr="00545DE7" w:rsidRDefault="0066723A" w:rsidP="00D86B3A">
      <w:pPr>
        <w:jc w:val="both"/>
        <w:rPr>
          <w:rFonts w:ascii="Calibri" w:hAnsi="Calibri" w:cs="Calibri"/>
          <w:color w:val="000000"/>
        </w:rPr>
      </w:pPr>
      <w:r w:rsidRPr="00B153B3">
        <w:rPr>
          <w:rFonts w:ascii="Calibri" w:hAnsi="Calibri" w:cs="Calibri"/>
          <w:color w:val="000000"/>
        </w:rPr>
        <w:t xml:space="preserve">The UAE </w:t>
      </w:r>
      <w:r w:rsidR="0004537A">
        <w:rPr>
          <w:rFonts w:ascii="Calibri" w:hAnsi="Calibri" w:cs="Calibri"/>
          <w:color w:val="000000"/>
        </w:rPr>
        <w:t xml:space="preserve">ministries, financial services regulatory authorities </w:t>
      </w:r>
      <w:r w:rsidRPr="00B153B3">
        <w:rPr>
          <w:rFonts w:ascii="Calibri" w:hAnsi="Calibri" w:cs="Calibri"/>
          <w:color w:val="000000"/>
        </w:rPr>
        <w:t>and exchanges</w:t>
      </w:r>
      <w:r w:rsidR="00E414DB">
        <w:rPr>
          <w:rFonts w:ascii="Calibri" w:hAnsi="Calibri" w:cs="Calibri"/>
          <w:color w:val="000000"/>
        </w:rPr>
        <w:t xml:space="preserve"> </w:t>
      </w:r>
      <w:r w:rsidR="0004537A">
        <w:rPr>
          <w:rFonts w:ascii="Calibri" w:hAnsi="Calibri" w:cs="Calibri"/>
          <w:color w:val="000000"/>
        </w:rPr>
        <w:t>(</w:t>
      </w:r>
      <w:r w:rsidR="004507A3">
        <w:rPr>
          <w:rFonts w:ascii="Calibri" w:hAnsi="Calibri" w:cs="Calibri"/>
          <w:color w:val="000000"/>
        </w:rPr>
        <w:t>the Authorities</w:t>
      </w:r>
      <w:r w:rsidR="0004537A">
        <w:rPr>
          <w:rFonts w:ascii="Calibri" w:hAnsi="Calibri" w:cs="Calibri"/>
          <w:color w:val="000000"/>
        </w:rPr>
        <w:t>)</w:t>
      </w:r>
      <w:r w:rsidR="0004537A">
        <w:rPr>
          <w:rStyle w:val="FootnoteReference"/>
          <w:rFonts w:ascii="Calibri" w:hAnsi="Calibri" w:cs="Calibri"/>
          <w:color w:val="000000"/>
        </w:rPr>
        <w:footnoteReference w:id="1"/>
      </w:r>
      <w:r w:rsidR="0004537A">
        <w:rPr>
          <w:rFonts w:ascii="Calibri" w:hAnsi="Calibri" w:cs="Calibri"/>
          <w:color w:val="000000"/>
        </w:rPr>
        <w:t xml:space="preserve"> </w:t>
      </w:r>
      <w:r w:rsidR="00E414DB">
        <w:rPr>
          <w:rFonts w:ascii="Calibri" w:hAnsi="Calibri" w:cs="Calibri"/>
          <w:color w:val="000000"/>
        </w:rPr>
        <w:t xml:space="preserve">are committed to </w:t>
      </w:r>
      <w:r w:rsidRPr="00B153B3">
        <w:rPr>
          <w:rFonts w:ascii="Calibri" w:hAnsi="Calibri" w:cs="Calibri"/>
          <w:color w:val="000000"/>
        </w:rPr>
        <w:t>address</w:t>
      </w:r>
      <w:r w:rsidR="0004537A">
        <w:rPr>
          <w:rFonts w:ascii="Calibri" w:hAnsi="Calibri" w:cs="Calibri"/>
          <w:color w:val="000000"/>
        </w:rPr>
        <w:t>ing</w:t>
      </w:r>
      <w:r w:rsidRPr="00B153B3">
        <w:rPr>
          <w:rFonts w:ascii="Calibri" w:hAnsi="Calibri" w:cs="Calibri"/>
          <w:color w:val="000000"/>
        </w:rPr>
        <w:t xml:space="preserve"> </w:t>
      </w:r>
      <w:r w:rsidR="00E414DB">
        <w:rPr>
          <w:rFonts w:ascii="Calibri" w:hAnsi="Calibri" w:cs="Calibri"/>
          <w:color w:val="000000"/>
        </w:rPr>
        <w:t>existing gaps</w:t>
      </w:r>
      <w:r w:rsidRPr="00B153B3">
        <w:rPr>
          <w:rFonts w:ascii="Calibri" w:hAnsi="Calibri" w:cs="Calibri"/>
          <w:color w:val="000000"/>
        </w:rPr>
        <w:t xml:space="preserve"> and challenges related to </w:t>
      </w:r>
      <w:r w:rsidR="00D10040">
        <w:rPr>
          <w:rFonts w:ascii="Calibri" w:hAnsi="Calibri" w:cs="Calibri"/>
          <w:color w:val="000000"/>
        </w:rPr>
        <w:t>institutionalizing</w:t>
      </w:r>
      <w:r w:rsidR="00D10040" w:rsidRPr="00B153B3">
        <w:rPr>
          <w:rFonts w:ascii="Calibri" w:hAnsi="Calibri" w:cs="Calibri"/>
          <w:color w:val="000000"/>
        </w:rPr>
        <w:t xml:space="preserve"> </w:t>
      </w:r>
      <w:r w:rsidRPr="00B153B3">
        <w:rPr>
          <w:rFonts w:ascii="Calibri" w:hAnsi="Calibri" w:cs="Calibri"/>
          <w:color w:val="000000"/>
        </w:rPr>
        <w:t>sustainable finance practices</w:t>
      </w:r>
      <w:r w:rsidR="00D10040">
        <w:rPr>
          <w:rFonts w:ascii="Calibri" w:hAnsi="Calibri" w:cs="Calibri"/>
          <w:color w:val="000000"/>
        </w:rPr>
        <w:t>,</w:t>
      </w:r>
      <w:r w:rsidR="00E414DB">
        <w:rPr>
          <w:rFonts w:ascii="Calibri" w:hAnsi="Calibri" w:cs="Calibri"/>
          <w:color w:val="000000"/>
        </w:rPr>
        <w:t xml:space="preserve"> </w:t>
      </w:r>
      <w:r w:rsidR="00D10040">
        <w:rPr>
          <w:rFonts w:ascii="Calibri" w:hAnsi="Calibri" w:cs="Calibri"/>
          <w:color w:val="000000"/>
        </w:rPr>
        <w:t>thereby</w:t>
      </w:r>
      <w:r w:rsidR="004A1845">
        <w:rPr>
          <w:rFonts w:ascii="Calibri" w:hAnsi="Calibri" w:cs="Calibri"/>
          <w:color w:val="000000"/>
        </w:rPr>
        <w:t xml:space="preserve"> contributing to </w:t>
      </w:r>
      <w:r w:rsidRPr="00B153B3">
        <w:rPr>
          <w:rFonts w:ascii="Calibri" w:hAnsi="Calibri" w:cs="Calibri"/>
          <w:color w:val="000000"/>
        </w:rPr>
        <w:t>improv</w:t>
      </w:r>
      <w:r w:rsidR="00605102">
        <w:rPr>
          <w:rFonts w:ascii="Calibri" w:hAnsi="Calibri" w:cs="Calibri"/>
          <w:color w:val="000000"/>
        </w:rPr>
        <w:t>ing</w:t>
      </w:r>
      <w:r w:rsidRPr="00B153B3">
        <w:rPr>
          <w:rFonts w:ascii="Calibri" w:hAnsi="Calibri" w:cs="Calibri"/>
          <w:color w:val="000000"/>
        </w:rPr>
        <w:t xml:space="preserve"> supply and demand of sustainable finance products and green investments. To </w:t>
      </w:r>
      <w:r w:rsidR="00277DE6">
        <w:rPr>
          <w:rFonts w:ascii="Calibri" w:hAnsi="Calibri" w:cs="Calibri"/>
          <w:color w:val="000000"/>
        </w:rPr>
        <w:t>attract</w:t>
      </w:r>
      <w:r w:rsidR="00277DE6" w:rsidRPr="00B153B3">
        <w:rPr>
          <w:rFonts w:ascii="Calibri" w:hAnsi="Calibri" w:cs="Calibri"/>
          <w:color w:val="000000"/>
        </w:rPr>
        <w:t xml:space="preserve"> </w:t>
      </w:r>
      <w:r w:rsidRPr="00B153B3">
        <w:rPr>
          <w:rFonts w:ascii="Calibri" w:hAnsi="Calibri" w:cs="Calibri"/>
          <w:color w:val="000000"/>
        </w:rPr>
        <w:t xml:space="preserve">investors, </w:t>
      </w:r>
      <w:r w:rsidR="0004537A">
        <w:rPr>
          <w:rFonts w:ascii="Calibri" w:hAnsi="Calibri" w:cs="Calibri"/>
          <w:color w:val="000000"/>
        </w:rPr>
        <w:t>the UAE</w:t>
      </w:r>
      <w:r w:rsidRPr="00B153B3">
        <w:rPr>
          <w:rFonts w:ascii="Calibri" w:hAnsi="Calibri" w:cs="Calibri"/>
          <w:color w:val="000000"/>
        </w:rPr>
        <w:t xml:space="preserve"> </w:t>
      </w:r>
      <w:r w:rsidR="00D10040">
        <w:rPr>
          <w:rFonts w:ascii="Calibri" w:hAnsi="Calibri" w:cs="Calibri"/>
          <w:color w:val="000000"/>
        </w:rPr>
        <w:t>is determined</w:t>
      </w:r>
      <w:r w:rsidRPr="00B153B3">
        <w:rPr>
          <w:rFonts w:ascii="Calibri" w:hAnsi="Calibri" w:cs="Calibri"/>
          <w:color w:val="000000"/>
        </w:rPr>
        <w:t xml:space="preserve"> to </w:t>
      </w:r>
      <w:r w:rsidR="005C0299">
        <w:rPr>
          <w:rFonts w:ascii="Calibri" w:hAnsi="Calibri" w:cs="Calibri"/>
          <w:color w:val="000000"/>
        </w:rPr>
        <w:t>create</w:t>
      </w:r>
      <w:r w:rsidRPr="00B153B3">
        <w:rPr>
          <w:rFonts w:ascii="Calibri" w:hAnsi="Calibri" w:cs="Calibri"/>
          <w:color w:val="000000"/>
        </w:rPr>
        <w:t xml:space="preserve"> </w:t>
      </w:r>
      <w:r w:rsidR="00121B29">
        <w:rPr>
          <w:rFonts w:ascii="Calibri" w:hAnsi="Calibri" w:cs="Calibri"/>
          <w:color w:val="000000"/>
        </w:rPr>
        <w:t>attractive</w:t>
      </w:r>
      <w:r w:rsidR="00121B29" w:rsidRPr="00B153B3">
        <w:rPr>
          <w:rFonts w:ascii="Calibri" w:hAnsi="Calibri" w:cs="Calibri"/>
          <w:color w:val="000000"/>
        </w:rPr>
        <w:t xml:space="preserve"> </w:t>
      </w:r>
      <w:r w:rsidRPr="00B153B3">
        <w:rPr>
          <w:rFonts w:ascii="Calibri" w:hAnsi="Calibri" w:cs="Calibri"/>
          <w:color w:val="000000"/>
        </w:rPr>
        <w:t>markets for environm</w:t>
      </w:r>
      <w:r w:rsidR="00E414DB">
        <w:rPr>
          <w:rFonts w:ascii="Calibri" w:hAnsi="Calibri" w:cs="Calibri"/>
          <w:color w:val="000000"/>
        </w:rPr>
        <w:t>entally sustainable finan</w:t>
      </w:r>
      <w:r w:rsidR="00121B29">
        <w:rPr>
          <w:rFonts w:ascii="Calibri" w:hAnsi="Calibri" w:cs="Calibri"/>
          <w:color w:val="000000"/>
        </w:rPr>
        <w:t>cial products and investments. To this end,</w:t>
      </w:r>
      <w:r w:rsidRPr="00B153B3">
        <w:rPr>
          <w:rFonts w:ascii="Calibri" w:hAnsi="Calibri" w:cs="Calibri"/>
          <w:color w:val="000000"/>
        </w:rPr>
        <w:t xml:space="preserve"> </w:t>
      </w:r>
      <w:r w:rsidR="00121B29">
        <w:rPr>
          <w:rFonts w:ascii="Calibri" w:hAnsi="Calibri" w:cs="Calibri"/>
          <w:color w:val="000000"/>
        </w:rPr>
        <w:t xml:space="preserve">the Authorities recognise the need to </w:t>
      </w:r>
      <w:r w:rsidR="00391181">
        <w:rPr>
          <w:rFonts w:ascii="Calibri" w:hAnsi="Calibri" w:cs="Calibri"/>
          <w:color w:val="000000"/>
        </w:rPr>
        <w:t>collaborate and promote</w:t>
      </w:r>
      <w:r w:rsidRPr="00B153B3">
        <w:rPr>
          <w:rFonts w:ascii="Calibri" w:hAnsi="Calibri" w:cs="Calibri"/>
          <w:color w:val="000000"/>
        </w:rPr>
        <w:t xml:space="preserve"> </w:t>
      </w:r>
      <w:r w:rsidR="00112CD3">
        <w:rPr>
          <w:rFonts w:ascii="Calibri" w:hAnsi="Calibri" w:cs="Calibri"/>
          <w:color w:val="000000"/>
        </w:rPr>
        <w:t>greater</w:t>
      </w:r>
      <w:r w:rsidR="00112CD3" w:rsidRPr="00B153B3">
        <w:rPr>
          <w:rFonts w:ascii="Calibri" w:hAnsi="Calibri" w:cs="Calibri"/>
          <w:color w:val="000000"/>
        </w:rPr>
        <w:t xml:space="preserve"> </w:t>
      </w:r>
      <w:r w:rsidRPr="00B153B3">
        <w:rPr>
          <w:rFonts w:ascii="Calibri" w:hAnsi="Calibri" w:cs="Calibri"/>
          <w:color w:val="000000"/>
        </w:rPr>
        <w:t xml:space="preserve">consistency between the different frameworks and </w:t>
      </w:r>
      <w:r w:rsidR="00207708" w:rsidRPr="00B153B3">
        <w:rPr>
          <w:rFonts w:ascii="Calibri" w:hAnsi="Calibri" w:cs="Calibri"/>
          <w:color w:val="000000"/>
        </w:rPr>
        <w:t xml:space="preserve">market </w:t>
      </w:r>
      <w:r w:rsidRPr="00B153B3">
        <w:rPr>
          <w:rFonts w:ascii="Calibri" w:hAnsi="Calibri" w:cs="Calibri"/>
          <w:color w:val="000000"/>
        </w:rPr>
        <w:t xml:space="preserve">tools that are key for investors to identify and seize </w:t>
      </w:r>
      <w:r w:rsidR="00121B29">
        <w:rPr>
          <w:rFonts w:ascii="Calibri" w:hAnsi="Calibri" w:cs="Calibri"/>
          <w:color w:val="000000"/>
        </w:rPr>
        <w:t xml:space="preserve">sustainable </w:t>
      </w:r>
      <w:r w:rsidRPr="00AF191C">
        <w:rPr>
          <w:rFonts w:ascii="Calibri" w:hAnsi="Calibri" w:cs="Calibri"/>
          <w:color w:val="000000"/>
        </w:rPr>
        <w:t>investment opportunities.</w:t>
      </w:r>
    </w:p>
    <w:p w14:paraId="5B359E4F" w14:textId="73B944AD" w:rsidR="00D93C42" w:rsidRDefault="00E76CA5" w:rsidP="00D86B3A">
      <w:pPr>
        <w:jc w:val="both"/>
        <w:rPr>
          <w:rFonts w:ascii="Calibri" w:hAnsi="Calibri" w:cs="Calibri"/>
          <w:color w:val="000000"/>
        </w:rPr>
      </w:pPr>
      <w:r w:rsidRPr="00AF191C">
        <w:rPr>
          <w:rFonts w:ascii="Calibri" w:hAnsi="Calibri" w:cs="Calibri"/>
          <w:color w:val="000000"/>
        </w:rPr>
        <w:t>A</w:t>
      </w:r>
      <w:r w:rsidR="00AF191C" w:rsidRPr="00AF191C">
        <w:rPr>
          <w:rFonts w:ascii="Calibri" w:hAnsi="Calibri" w:cs="Calibri"/>
          <w:color w:val="000000"/>
        </w:rPr>
        <w:t xml:space="preserve">s a first step, </w:t>
      </w:r>
      <w:r w:rsidR="00900FDF">
        <w:rPr>
          <w:rFonts w:ascii="Calibri" w:hAnsi="Calibri" w:cs="Calibri"/>
          <w:color w:val="000000"/>
        </w:rPr>
        <w:t>the Authorities</w:t>
      </w:r>
      <w:r w:rsidR="0004537A" w:rsidDel="0004537A">
        <w:rPr>
          <w:rStyle w:val="FootnoteReference"/>
          <w:rFonts w:ascii="Calibri" w:hAnsi="Calibri" w:cs="Calibri"/>
          <w:color w:val="000000"/>
        </w:rPr>
        <w:t xml:space="preserve"> </w:t>
      </w:r>
      <w:r w:rsidR="00AF191C">
        <w:rPr>
          <w:rFonts w:ascii="Calibri" w:hAnsi="Calibri" w:cs="Calibri"/>
          <w:color w:val="000000"/>
        </w:rPr>
        <w:t>p</w:t>
      </w:r>
      <w:r w:rsidR="00AF191C" w:rsidRPr="00AF191C">
        <w:rPr>
          <w:rFonts w:ascii="Calibri" w:hAnsi="Calibri" w:cs="Calibri"/>
          <w:color w:val="000000"/>
        </w:rPr>
        <w:t>ublished the UAE’s Guiding Principles on Sustainable Finance</w:t>
      </w:r>
      <w:r w:rsidR="0070578C">
        <w:rPr>
          <w:rStyle w:val="FootnoteReference"/>
          <w:rFonts w:ascii="Calibri" w:hAnsi="Calibri" w:cs="Calibri"/>
          <w:color w:val="000000"/>
        </w:rPr>
        <w:footnoteReference w:id="2"/>
      </w:r>
      <w:r w:rsidR="00900FDF">
        <w:rPr>
          <w:rFonts w:ascii="Calibri" w:hAnsi="Calibri" w:cs="Calibri"/>
          <w:color w:val="000000"/>
        </w:rPr>
        <w:t xml:space="preserve"> (the Guiding Principles)</w:t>
      </w:r>
      <w:r w:rsidR="00AF191C" w:rsidRPr="00AF191C">
        <w:rPr>
          <w:rFonts w:ascii="Calibri" w:hAnsi="Calibri" w:cs="Calibri"/>
          <w:color w:val="000000"/>
        </w:rPr>
        <w:t xml:space="preserve">, </w:t>
      </w:r>
      <w:r w:rsidR="00391181">
        <w:rPr>
          <w:rFonts w:ascii="Calibri" w:hAnsi="Calibri" w:cs="Calibri"/>
          <w:color w:val="000000"/>
        </w:rPr>
        <w:t>which are intended to catalyse</w:t>
      </w:r>
      <w:r w:rsidR="00AF191C" w:rsidRPr="00AF191C">
        <w:rPr>
          <w:rFonts w:ascii="Calibri" w:hAnsi="Calibri" w:cs="Calibri"/>
          <w:color w:val="000000"/>
        </w:rPr>
        <w:t xml:space="preserve"> the </w:t>
      </w:r>
      <w:r w:rsidR="00391181">
        <w:rPr>
          <w:rFonts w:ascii="Calibri" w:hAnsi="Calibri" w:cs="Calibri"/>
          <w:color w:val="000000"/>
        </w:rPr>
        <w:t>progress</w:t>
      </w:r>
      <w:r w:rsidR="00391181" w:rsidRPr="00AF191C">
        <w:rPr>
          <w:rFonts w:ascii="Calibri" w:hAnsi="Calibri" w:cs="Calibri"/>
          <w:color w:val="000000"/>
        </w:rPr>
        <w:t xml:space="preserve"> </w:t>
      </w:r>
      <w:r w:rsidR="00391181">
        <w:rPr>
          <w:rFonts w:ascii="Calibri" w:hAnsi="Calibri" w:cs="Calibri"/>
          <w:color w:val="000000"/>
        </w:rPr>
        <w:t>towards</w:t>
      </w:r>
      <w:r w:rsidR="00391181" w:rsidRPr="00AF191C">
        <w:rPr>
          <w:rFonts w:ascii="Calibri" w:hAnsi="Calibri" w:cs="Calibri"/>
          <w:color w:val="000000"/>
        </w:rPr>
        <w:t xml:space="preserve"> </w:t>
      </w:r>
      <w:r w:rsidR="00AF191C" w:rsidRPr="00AF191C">
        <w:rPr>
          <w:rFonts w:ascii="Calibri" w:hAnsi="Calibri" w:cs="Calibri"/>
          <w:color w:val="000000"/>
        </w:rPr>
        <w:t>the UAE’s sustainabl</w:t>
      </w:r>
      <w:r w:rsidR="0049733F">
        <w:rPr>
          <w:rFonts w:ascii="Calibri" w:hAnsi="Calibri" w:cs="Calibri"/>
          <w:color w:val="000000"/>
        </w:rPr>
        <w:t xml:space="preserve">e finance </w:t>
      </w:r>
      <w:r w:rsidR="00AF191C" w:rsidRPr="00AF191C">
        <w:rPr>
          <w:rFonts w:ascii="Calibri" w:hAnsi="Calibri" w:cs="Calibri"/>
          <w:color w:val="000000"/>
        </w:rPr>
        <w:t xml:space="preserve">priorities. </w:t>
      </w:r>
      <w:r w:rsidR="00605102">
        <w:rPr>
          <w:rFonts w:ascii="Calibri" w:hAnsi="Calibri" w:cs="Calibri"/>
          <w:color w:val="000000"/>
        </w:rPr>
        <w:lastRenderedPageBreak/>
        <w:t>Based</w:t>
      </w:r>
      <w:r w:rsidR="00AF191C" w:rsidRPr="00AF191C">
        <w:rPr>
          <w:rFonts w:ascii="Calibri" w:hAnsi="Calibri" w:cs="Calibri"/>
          <w:color w:val="000000"/>
        </w:rPr>
        <w:t xml:space="preserve"> on the United Nations Agenda for Sustainable Development, th</w:t>
      </w:r>
      <w:r w:rsidR="004C7568">
        <w:rPr>
          <w:rFonts w:ascii="Calibri" w:hAnsi="Calibri" w:cs="Calibri"/>
          <w:color w:val="000000"/>
        </w:rPr>
        <w:t>is</w:t>
      </w:r>
      <w:r w:rsidR="00AF191C" w:rsidRPr="00AF191C">
        <w:rPr>
          <w:rFonts w:ascii="Calibri" w:hAnsi="Calibri" w:cs="Calibri"/>
          <w:color w:val="000000"/>
        </w:rPr>
        <w:t xml:space="preserve"> initiative </w:t>
      </w:r>
      <w:r w:rsidR="00391181">
        <w:rPr>
          <w:rFonts w:ascii="Calibri" w:hAnsi="Calibri" w:cs="Calibri"/>
          <w:color w:val="000000"/>
        </w:rPr>
        <w:t>is</w:t>
      </w:r>
      <w:r w:rsidR="00391181" w:rsidRPr="00AF191C">
        <w:rPr>
          <w:rFonts w:ascii="Calibri" w:hAnsi="Calibri" w:cs="Calibri"/>
          <w:color w:val="000000"/>
        </w:rPr>
        <w:t xml:space="preserve"> </w:t>
      </w:r>
      <w:r w:rsidR="00AF191C" w:rsidRPr="00AF191C">
        <w:rPr>
          <w:rFonts w:ascii="Calibri" w:hAnsi="Calibri" w:cs="Calibri"/>
          <w:color w:val="000000"/>
        </w:rPr>
        <w:t>a result of co</w:t>
      </w:r>
      <w:r w:rsidR="00605102">
        <w:rPr>
          <w:rFonts w:ascii="Calibri" w:hAnsi="Calibri" w:cs="Calibri"/>
          <w:color w:val="000000"/>
        </w:rPr>
        <w:t>operation between</w:t>
      </w:r>
      <w:r w:rsidR="00D91CA1">
        <w:rPr>
          <w:rFonts w:ascii="Calibri" w:hAnsi="Calibri" w:cs="Calibri"/>
          <w:color w:val="000000"/>
        </w:rPr>
        <w:t xml:space="preserve"> </w:t>
      </w:r>
      <w:r w:rsidR="00745E45" w:rsidRPr="00AF191C">
        <w:rPr>
          <w:rFonts w:ascii="Calibri" w:hAnsi="Calibri" w:cs="Calibri"/>
          <w:color w:val="000000"/>
        </w:rPr>
        <w:t xml:space="preserve">the Ministry of </w:t>
      </w:r>
      <w:r w:rsidR="00745E45">
        <w:rPr>
          <w:rFonts w:ascii="Calibri" w:hAnsi="Calibri" w:cs="Calibri"/>
          <w:color w:val="000000"/>
        </w:rPr>
        <w:t>Climate Change and Environment;</w:t>
      </w:r>
      <w:r w:rsidR="00FA5318">
        <w:rPr>
          <w:rFonts w:ascii="Calibri" w:hAnsi="Calibri" w:cs="Calibri"/>
          <w:color w:val="000000"/>
        </w:rPr>
        <w:t xml:space="preserve"> the Central Bank of UAE;</w:t>
      </w:r>
      <w:r w:rsidR="00745E45">
        <w:rPr>
          <w:rFonts w:ascii="Calibri" w:hAnsi="Calibri" w:cs="Calibri"/>
          <w:color w:val="000000"/>
        </w:rPr>
        <w:t xml:space="preserve"> </w:t>
      </w:r>
      <w:r w:rsidR="00745E45" w:rsidRPr="00B5199D">
        <w:rPr>
          <w:rFonts w:ascii="Calibri" w:hAnsi="Calibri" w:cs="Calibri"/>
          <w:color w:val="000000"/>
        </w:rPr>
        <w:t>the Securities and Commodities Authority</w:t>
      </w:r>
      <w:r w:rsidR="000B4D38">
        <w:rPr>
          <w:rFonts w:ascii="Calibri" w:hAnsi="Calibri" w:cs="Calibri"/>
          <w:color w:val="000000"/>
        </w:rPr>
        <w:t>;</w:t>
      </w:r>
      <w:r w:rsidR="00D91CA1" w:rsidRPr="00D91CA1">
        <w:rPr>
          <w:rFonts w:ascii="Calibri" w:hAnsi="Calibri" w:cs="Calibri"/>
          <w:color w:val="000000"/>
        </w:rPr>
        <w:t xml:space="preserve"> </w:t>
      </w:r>
      <w:r w:rsidR="00C878E5">
        <w:rPr>
          <w:rFonts w:ascii="Calibri" w:hAnsi="Calibri" w:cs="Calibri"/>
          <w:color w:val="000000"/>
        </w:rPr>
        <w:t xml:space="preserve">the Regulator of </w:t>
      </w:r>
      <w:r w:rsidR="00D91CA1" w:rsidRPr="00AF191C">
        <w:rPr>
          <w:rFonts w:ascii="Calibri" w:hAnsi="Calibri" w:cs="Calibri"/>
          <w:color w:val="000000"/>
        </w:rPr>
        <w:t xml:space="preserve">Abu Dhabi Global </w:t>
      </w:r>
      <w:r w:rsidR="00D91CA1">
        <w:rPr>
          <w:rFonts w:ascii="Calibri" w:hAnsi="Calibri" w:cs="Calibri"/>
          <w:color w:val="000000"/>
        </w:rPr>
        <w:t xml:space="preserve">Market; </w:t>
      </w:r>
      <w:r w:rsidR="00361AC6" w:rsidRPr="00235285">
        <w:rPr>
          <w:rFonts w:ascii="Calibri" w:hAnsi="Calibri" w:cs="Calibri"/>
          <w:color w:val="000000"/>
        </w:rPr>
        <w:t>the Dubai Financial Services Authority</w:t>
      </w:r>
      <w:r w:rsidR="00361AC6">
        <w:rPr>
          <w:rFonts w:ascii="Calibri" w:hAnsi="Calibri" w:cs="Calibri"/>
          <w:color w:val="000000"/>
        </w:rPr>
        <w:t>;</w:t>
      </w:r>
      <w:r w:rsidR="00B5199D" w:rsidRPr="00B5199D">
        <w:rPr>
          <w:rFonts w:ascii="Calibri" w:hAnsi="Calibri" w:cs="Calibri"/>
          <w:color w:val="000000"/>
        </w:rPr>
        <w:t xml:space="preserve"> </w:t>
      </w:r>
      <w:r w:rsidR="00D91CA1" w:rsidRPr="00235285">
        <w:rPr>
          <w:rFonts w:ascii="Calibri" w:hAnsi="Calibri" w:cs="Calibri"/>
          <w:color w:val="000000"/>
        </w:rPr>
        <w:t>th</w:t>
      </w:r>
      <w:r w:rsidR="00D91CA1">
        <w:rPr>
          <w:rFonts w:ascii="Calibri" w:hAnsi="Calibri" w:cs="Calibri"/>
          <w:color w:val="000000"/>
        </w:rPr>
        <w:t xml:space="preserve">e Abu Dhabi Securities Exchange; </w:t>
      </w:r>
      <w:r w:rsidR="00235285">
        <w:rPr>
          <w:rFonts w:ascii="Calibri" w:hAnsi="Calibri" w:cs="Calibri"/>
          <w:color w:val="000000"/>
        </w:rPr>
        <w:t xml:space="preserve">the Dubai Financial Market; </w:t>
      </w:r>
      <w:r w:rsidR="00D91CA1" w:rsidRPr="00AF191C">
        <w:rPr>
          <w:rFonts w:ascii="Calibri" w:hAnsi="Calibri" w:cs="Calibri"/>
          <w:color w:val="000000"/>
        </w:rPr>
        <w:t>the Dubai Isla</w:t>
      </w:r>
      <w:r w:rsidR="00D91CA1">
        <w:rPr>
          <w:rFonts w:ascii="Calibri" w:hAnsi="Calibri" w:cs="Calibri"/>
          <w:color w:val="000000"/>
        </w:rPr>
        <w:t>mic Economy Development Centre;</w:t>
      </w:r>
      <w:r w:rsidR="00D91CA1" w:rsidRPr="00235285">
        <w:rPr>
          <w:rFonts w:ascii="Calibri" w:hAnsi="Calibri" w:cs="Calibri"/>
          <w:color w:val="000000"/>
        </w:rPr>
        <w:t xml:space="preserve"> </w:t>
      </w:r>
      <w:r w:rsidR="00235285" w:rsidRPr="00235285">
        <w:rPr>
          <w:rFonts w:ascii="Calibri" w:hAnsi="Calibri" w:cs="Calibri"/>
          <w:color w:val="000000"/>
        </w:rPr>
        <w:t>Nasdaq Dubai</w:t>
      </w:r>
      <w:r w:rsidR="0050365E">
        <w:rPr>
          <w:rFonts w:ascii="Calibri" w:hAnsi="Calibri" w:cs="Calibri"/>
          <w:color w:val="000000"/>
        </w:rPr>
        <w:t>.</w:t>
      </w:r>
      <w:r w:rsidR="00C0325D">
        <w:rPr>
          <w:rFonts w:ascii="Calibri" w:hAnsi="Calibri" w:cs="Calibri"/>
          <w:color w:val="000000"/>
        </w:rPr>
        <w:t xml:space="preserve"> </w:t>
      </w:r>
    </w:p>
    <w:p w14:paraId="330722AE" w14:textId="1E6A48B7" w:rsidR="00545DE7" w:rsidRDefault="00AF191C" w:rsidP="00EC1C01">
      <w:pPr>
        <w:jc w:val="both"/>
        <w:rPr>
          <w:rFonts w:ascii="Calibri" w:hAnsi="Calibri" w:cs="Calibri"/>
          <w:color w:val="000000"/>
        </w:rPr>
      </w:pPr>
      <w:r w:rsidRPr="00AF191C">
        <w:rPr>
          <w:rFonts w:ascii="Calibri" w:hAnsi="Calibri" w:cs="Calibri"/>
          <w:color w:val="000000"/>
        </w:rPr>
        <w:t>Th</w:t>
      </w:r>
      <w:r>
        <w:rPr>
          <w:rFonts w:ascii="Calibri" w:hAnsi="Calibri" w:cs="Calibri"/>
          <w:color w:val="000000"/>
        </w:rPr>
        <w:t xml:space="preserve">e </w:t>
      </w:r>
      <w:r w:rsidRPr="00277DE6">
        <w:rPr>
          <w:rFonts w:ascii="Calibri" w:hAnsi="Calibri" w:cs="Calibri"/>
          <w:color w:val="000000"/>
        </w:rPr>
        <w:t>Guiding</w:t>
      </w:r>
      <w:r>
        <w:rPr>
          <w:rFonts w:ascii="Calibri" w:hAnsi="Calibri" w:cs="Calibri"/>
          <w:color w:val="000000"/>
        </w:rPr>
        <w:t xml:space="preserve"> Principles </w:t>
      </w:r>
      <w:r w:rsidRPr="00AF191C">
        <w:rPr>
          <w:rFonts w:ascii="Calibri" w:hAnsi="Calibri" w:cs="Calibri"/>
          <w:color w:val="000000"/>
        </w:rPr>
        <w:t xml:space="preserve">serve as a gateway to </w:t>
      </w:r>
      <w:r w:rsidR="004C7568">
        <w:rPr>
          <w:rFonts w:ascii="Calibri" w:hAnsi="Calibri" w:cs="Calibri"/>
          <w:color w:val="000000"/>
        </w:rPr>
        <w:t xml:space="preserve">guide </w:t>
      </w:r>
      <w:r w:rsidRPr="00AF191C">
        <w:rPr>
          <w:rFonts w:ascii="Calibri" w:hAnsi="Calibri" w:cs="Calibri"/>
          <w:color w:val="000000"/>
        </w:rPr>
        <w:t xml:space="preserve">the implementation and integration of </w:t>
      </w:r>
      <w:r w:rsidR="00C878E5">
        <w:rPr>
          <w:rFonts w:ascii="Calibri" w:hAnsi="Calibri" w:cs="Calibri"/>
          <w:color w:val="000000"/>
        </w:rPr>
        <w:t xml:space="preserve">consistent </w:t>
      </w:r>
      <w:r w:rsidRPr="00AF191C">
        <w:rPr>
          <w:rFonts w:ascii="Calibri" w:hAnsi="Calibri" w:cs="Calibri"/>
          <w:color w:val="000000"/>
        </w:rPr>
        <w:t>sustainable practices among the UA</w:t>
      </w:r>
      <w:r>
        <w:rPr>
          <w:rFonts w:ascii="Calibri" w:hAnsi="Calibri" w:cs="Calibri"/>
          <w:color w:val="000000"/>
        </w:rPr>
        <w:t>E’s financial entities</w:t>
      </w:r>
      <w:r w:rsidR="00605102">
        <w:rPr>
          <w:rFonts w:ascii="Calibri" w:hAnsi="Calibri" w:cs="Calibri"/>
          <w:color w:val="000000"/>
        </w:rPr>
        <w:t>,</w:t>
      </w:r>
      <w:r>
        <w:rPr>
          <w:rFonts w:ascii="Calibri" w:hAnsi="Calibri" w:cs="Calibri"/>
          <w:color w:val="000000"/>
        </w:rPr>
        <w:t xml:space="preserve"> </w:t>
      </w:r>
      <w:r w:rsidR="003F27CB">
        <w:rPr>
          <w:rFonts w:ascii="Calibri" w:hAnsi="Calibri" w:cs="Calibri"/>
          <w:color w:val="000000"/>
        </w:rPr>
        <w:t>contributing to</w:t>
      </w:r>
      <w:r w:rsidRPr="00AF191C">
        <w:rPr>
          <w:rFonts w:ascii="Calibri" w:hAnsi="Calibri" w:cs="Calibri"/>
          <w:color w:val="000000"/>
        </w:rPr>
        <w:t xml:space="preserve"> the health and </w:t>
      </w:r>
      <w:r w:rsidR="003F27CB">
        <w:rPr>
          <w:rFonts w:ascii="Calibri" w:hAnsi="Calibri" w:cs="Calibri"/>
          <w:color w:val="000000"/>
        </w:rPr>
        <w:t>tenacity</w:t>
      </w:r>
      <w:r w:rsidRPr="00AF191C">
        <w:rPr>
          <w:rFonts w:ascii="Calibri" w:hAnsi="Calibri" w:cs="Calibri"/>
          <w:color w:val="000000"/>
        </w:rPr>
        <w:t xml:space="preserve"> of the nation’s economy. The</w:t>
      </w:r>
      <w:r w:rsidR="004C7568">
        <w:rPr>
          <w:rFonts w:ascii="Calibri" w:hAnsi="Calibri" w:cs="Calibri"/>
          <w:color w:val="000000"/>
        </w:rPr>
        <w:t>se</w:t>
      </w:r>
      <w:r w:rsidRPr="00AF191C">
        <w:rPr>
          <w:rFonts w:ascii="Calibri" w:hAnsi="Calibri" w:cs="Calibri"/>
          <w:color w:val="000000"/>
        </w:rPr>
        <w:t xml:space="preserve"> principles represent </w:t>
      </w:r>
      <w:r w:rsidR="004C7568">
        <w:rPr>
          <w:rFonts w:ascii="Calibri" w:hAnsi="Calibri" w:cs="Calibri"/>
          <w:color w:val="000000"/>
        </w:rPr>
        <w:t xml:space="preserve">only </w:t>
      </w:r>
      <w:r w:rsidRPr="00AF191C">
        <w:rPr>
          <w:rFonts w:ascii="Calibri" w:hAnsi="Calibri" w:cs="Calibri"/>
          <w:color w:val="000000"/>
        </w:rPr>
        <w:t xml:space="preserve">the first stage of collaboration among </w:t>
      </w:r>
      <w:r w:rsidR="00391181">
        <w:rPr>
          <w:rFonts w:ascii="Calibri" w:hAnsi="Calibri" w:cs="Calibri"/>
          <w:color w:val="000000"/>
        </w:rPr>
        <w:t>the Authorities</w:t>
      </w:r>
      <w:r w:rsidRPr="00AF191C">
        <w:rPr>
          <w:rFonts w:ascii="Calibri" w:hAnsi="Calibri" w:cs="Calibri"/>
          <w:color w:val="000000"/>
        </w:rPr>
        <w:t xml:space="preserve"> and </w:t>
      </w:r>
      <w:r w:rsidR="00EC1C01">
        <w:rPr>
          <w:rFonts w:ascii="Calibri" w:hAnsi="Calibri" w:cs="Calibri"/>
          <w:color w:val="000000"/>
        </w:rPr>
        <w:t xml:space="preserve">the </w:t>
      </w:r>
      <w:r w:rsidRPr="00AF191C">
        <w:rPr>
          <w:rFonts w:ascii="Calibri" w:hAnsi="Calibri" w:cs="Calibri"/>
          <w:color w:val="000000"/>
        </w:rPr>
        <w:t>transition to</w:t>
      </w:r>
      <w:r w:rsidR="00391181">
        <w:rPr>
          <w:rFonts w:ascii="Calibri" w:hAnsi="Calibri" w:cs="Calibri"/>
          <w:color w:val="000000"/>
        </w:rPr>
        <w:t>wards</w:t>
      </w:r>
      <w:r w:rsidRPr="00AF191C">
        <w:rPr>
          <w:rFonts w:ascii="Calibri" w:hAnsi="Calibri" w:cs="Calibri"/>
          <w:color w:val="000000"/>
        </w:rPr>
        <w:t xml:space="preserve"> a </w:t>
      </w:r>
      <w:r w:rsidR="005C0299">
        <w:rPr>
          <w:rFonts w:ascii="Calibri" w:hAnsi="Calibri" w:cs="Calibri"/>
          <w:color w:val="000000"/>
        </w:rPr>
        <w:t xml:space="preserve">balanced </w:t>
      </w:r>
      <w:r w:rsidR="00CF3C39">
        <w:rPr>
          <w:rFonts w:ascii="Calibri" w:hAnsi="Calibri" w:cs="Calibri"/>
          <w:color w:val="000000"/>
        </w:rPr>
        <w:t xml:space="preserve">regulatory </w:t>
      </w:r>
      <w:r w:rsidRPr="00AF191C">
        <w:rPr>
          <w:rFonts w:ascii="Calibri" w:hAnsi="Calibri" w:cs="Calibri"/>
          <w:color w:val="000000"/>
        </w:rPr>
        <w:t>framework</w:t>
      </w:r>
      <w:r w:rsidR="005C0299">
        <w:rPr>
          <w:rFonts w:ascii="Calibri" w:hAnsi="Calibri" w:cs="Calibri"/>
          <w:color w:val="000000"/>
        </w:rPr>
        <w:t xml:space="preserve"> for sustainable finance</w:t>
      </w:r>
      <w:r w:rsidRPr="00AF191C">
        <w:rPr>
          <w:rFonts w:ascii="Calibri" w:hAnsi="Calibri" w:cs="Calibri"/>
          <w:color w:val="000000"/>
        </w:rPr>
        <w:t>. </w:t>
      </w:r>
    </w:p>
    <w:p w14:paraId="3F554397" w14:textId="77777777" w:rsidR="00D86B3A" w:rsidRDefault="00D86B3A" w:rsidP="00EC1C01">
      <w:pPr>
        <w:jc w:val="both"/>
        <w:rPr>
          <w:rFonts w:ascii="Calibri" w:hAnsi="Calibri" w:cs="Calibri"/>
          <w:b/>
          <w:color w:val="000000"/>
        </w:rPr>
      </w:pPr>
    </w:p>
    <w:p w14:paraId="3C0D3AE6" w14:textId="43DAE378" w:rsidR="00C878E5" w:rsidRPr="00C44534" w:rsidRDefault="00C878E5" w:rsidP="00EC1C01">
      <w:pPr>
        <w:jc w:val="both"/>
        <w:rPr>
          <w:rFonts w:ascii="Calibri" w:hAnsi="Calibri" w:cs="Calibri"/>
          <w:b/>
          <w:color w:val="000000"/>
        </w:rPr>
      </w:pPr>
      <w:r w:rsidRPr="00C44534">
        <w:rPr>
          <w:rFonts w:ascii="Calibri" w:hAnsi="Calibri" w:cs="Calibri"/>
          <w:b/>
          <w:color w:val="000000"/>
        </w:rPr>
        <w:t>THE ROADMAP</w:t>
      </w:r>
    </w:p>
    <w:p w14:paraId="33CA28DB" w14:textId="5AEDAE98" w:rsidR="00765A93" w:rsidRPr="00545DE7" w:rsidRDefault="00C878E5" w:rsidP="00E76CA5">
      <w:pPr>
        <w:jc w:val="both"/>
        <w:rPr>
          <w:rFonts w:ascii="Calibri" w:hAnsi="Calibri" w:cs="Calibri"/>
          <w:color w:val="000000"/>
        </w:rPr>
      </w:pPr>
      <w:r>
        <w:rPr>
          <w:rFonts w:ascii="Calibri" w:hAnsi="Calibri" w:cs="Calibri"/>
          <w:color w:val="000000"/>
        </w:rPr>
        <w:t>In order to progress these Guiding Principles</w:t>
      </w:r>
      <w:r w:rsidR="00277DE6" w:rsidRPr="00765A93">
        <w:rPr>
          <w:rFonts w:ascii="Calibri" w:hAnsi="Calibri" w:cs="Calibri"/>
          <w:color w:val="000000"/>
        </w:rPr>
        <w:t xml:space="preserve"> the </w:t>
      </w:r>
      <w:r w:rsidR="00900FDF">
        <w:rPr>
          <w:rFonts w:ascii="Calibri" w:hAnsi="Calibri" w:cs="Calibri"/>
          <w:color w:val="000000"/>
        </w:rPr>
        <w:t>Authorities</w:t>
      </w:r>
      <w:r w:rsidR="00277DE6" w:rsidRPr="00765A93">
        <w:rPr>
          <w:rFonts w:ascii="Calibri" w:hAnsi="Calibri" w:cs="Calibri"/>
          <w:color w:val="000000"/>
        </w:rPr>
        <w:t xml:space="preserve"> </w:t>
      </w:r>
      <w:r w:rsidR="00277DE6">
        <w:rPr>
          <w:rFonts w:ascii="Calibri" w:hAnsi="Calibri" w:cs="Calibri"/>
          <w:color w:val="000000"/>
        </w:rPr>
        <w:t>surveyed</w:t>
      </w:r>
      <w:r w:rsidR="00277DE6" w:rsidRPr="00765A93">
        <w:rPr>
          <w:rFonts w:ascii="Calibri" w:hAnsi="Calibri" w:cs="Calibri"/>
          <w:color w:val="000000"/>
        </w:rPr>
        <w:t xml:space="preserve"> </w:t>
      </w:r>
      <w:r>
        <w:rPr>
          <w:rFonts w:ascii="Calibri" w:hAnsi="Calibri" w:cs="Calibri"/>
          <w:color w:val="000000"/>
        </w:rPr>
        <w:t xml:space="preserve">financial institutions </w:t>
      </w:r>
      <w:r w:rsidR="00C44534">
        <w:rPr>
          <w:rFonts w:ascii="Calibri" w:hAnsi="Calibri" w:cs="Calibri"/>
          <w:color w:val="000000"/>
        </w:rPr>
        <w:t>across</w:t>
      </w:r>
      <w:r w:rsidR="00277DE6">
        <w:rPr>
          <w:rFonts w:ascii="Calibri" w:hAnsi="Calibri" w:cs="Calibri"/>
          <w:color w:val="000000"/>
        </w:rPr>
        <w:t xml:space="preserve"> the UAE </w:t>
      </w:r>
      <w:r w:rsidR="00277DE6" w:rsidRPr="00765A93">
        <w:rPr>
          <w:rFonts w:ascii="Calibri" w:hAnsi="Calibri" w:cs="Calibri"/>
          <w:color w:val="000000"/>
        </w:rPr>
        <w:t xml:space="preserve">to </w:t>
      </w:r>
      <w:r w:rsidR="00277DE6">
        <w:rPr>
          <w:rFonts w:ascii="Calibri" w:hAnsi="Calibri" w:cs="Calibri"/>
          <w:color w:val="000000"/>
        </w:rPr>
        <w:t>gauge sentiment and assess the extent of implementation of the</w:t>
      </w:r>
      <w:r w:rsidR="00277DE6" w:rsidRPr="00765A93">
        <w:rPr>
          <w:rFonts w:ascii="Calibri" w:hAnsi="Calibri" w:cs="Calibri"/>
          <w:color w:val="000000"/>
        </w:rPr>
        <w:t xml:space="preserve"> Guiding Principles</w:t>
      </w:r>
      <w:r w:rsidR="00277DE6">
        <w:rPr>
          <w:rFonts w:ascii="Calibri" w:hAnsi="Calibri" w:cs="Calibri"/>
          <w:color w:val="000000"/>
        </w:rPr>
        <w:t xml:space="preserve"> among</w:t>
      </w:r>
      <w:r w:rsidR="00900FDF">
        <w:rPr>
          <w:rFonts w:ascii="Calibri" w:hAnsi="Calibri" w:cs="Calibri"/>
          <w:color w:val="000000"/>
        </w:rPr>
        <w:t>st</w:t>
      </w:r>
      <w:r w:rsidR="00277DE6">
        <w:rPr>
          <w:rFonts w:ascii="Calibri" w:hAnsi="Calibri" w:cs="Calibri"/>
          <w:color w:val="000000"/>
        </w:rPr>
        <w:t xml:space="preserve"> these entities</w:t>
      </w:r>
      <w:r w:rsidR="00277DE6" w:rsidRPr="00765A93">
        <w:rPr>
          <w:rFonts w:ascii="Calibri" w:hAnsi="Calibri" w:cs="Calibri"/>
          <w:color w:val="000000"/>
        </w:rPr>
        <w:t>.</w:t>
      </w:r>
      <w:r w:rsidR="00277DE6">
        <w:rPr>
          <w:rFonts w:ascii="Calibri" w:hAnsi="Calibri" w:cs="Calibri"/>
          <w:color w:val="000000"/>
        </w:rPr>
        <w:t xml:space="preserve"> </w:t>
      </w:r>
      <w:r w:rsidR="00765A93" w:rsidRPr="00765A93">
        <w:rPr>
          <w:rFonts w:ascii="Calibri" w:hAnsi="Calibri" w:cs="Calibri"/>
          <w:color w:val="000000"/>
        </w:rPr>
        <w:t xml:space="preserve">The survey </w:t>
      </w:r>
      <w:r w:rsidR="00DE77CE" w:rsidRPr="00765A93">
        <w:rPr>
          <w:rFonts w:ascii="Calibri" w:hAnsi="Calibri" w:cs="Calibri"/>
          <w:color w:val="000000"/>
        </w:rPr>
        <w:t>gauged</w:t>
      </w:r>
      <w:r w:rsidR="00765A93" w:rsidRPr="00765A93">
        <w:rPr>
          <w:rFonts w:ascii="Calibri" w:hAnsi="Calibri" w:cs="Calibri"/>
          <w:color w:val="000000"/>
        </w:rPr>
        <w:t xml:space="preserve"> both the extent of actions taken </w:t>
      </w:r>
      <w:r w:rsidR="00DE77CE">
        <w:rPr>
          <w:rFonts w:ascii="Calibri" w:hAnsi="Calibri" w:cs="Calibri"/>
          <w:color w:val="000000"/>
        </w:rPr>
        <w:t>to</w:t>
      </w:r>
      <w:r w:rsidR="00900FDF">
        <w:rPr>
          <w:rFonts w:ascii="Calibri" w:hAnsi="Calibri" w:cs="Calibri"/>
          <w:color w:val="000000"/>
        </w:rPr>
        <w:t>-</w:t>
      </w:r>
      <w:r w:rsidR="00DE77CE">
        <w:rPr>
          <w:rFonts w:ascii="Calibri" w:hAnsi="Calibri" w:cs="Calibri"/>
          <w:color w:val="000000"/>
        </w:rPr>
        <w:t xml:space="preserve">date </w:t>
      </w:r>
      <w:r w:rsidR="00765A93" w:rsidRPr="00765A93">
        <w:rPr>
          <w:rFonts w:ascii="Calibri" w:hAnsi="Calibri" w:cs="Calibri"/>
          <w:color w:val="000000"/>
        </w:rPr>
        <w:t xml:space="preserve">as well as the challenges faced by financial institutions in terms of </w:t>
      </w:r>
      <w:r w:rsidR="00DE77CE">
        <w:rPr>
          <w:rFonts w:ascii="Calibri" w:hAnsi="Calibri" w:cs="Calibri"/>
          <w:color w:val="000000"/>
        </w:rPr>
        <w:t xml:space="preserve">addressing </w:t>
      </w:r>
      <w:r w:rsidR="00765A93" w:rsidRPr="00765A93">
        <w:rPr>
          <w:rFonts w:ascii="Calibri" w:hAnsi="Calibri" w:cs="Calibri"/>
          <w:color w:val="000000"/>
        </w:rPr>
        <w:t>sustainability</w:t>
      </w:r>
      <w:r w:rsidR="00DE77CE">
        <w:rPr>
          <w:rFonts w:ascii="Calibri" w:hAnsi="Calibri" w:cs="Calibri"/>
          <w:color w:val="000000"/>
        </w:rPr>
        <w:t xml:space="preserve"> aspects in</w:t>
      </w:r>
      <w:r w:rsidR="00765A93" w:rsidRPr="00765A93">
        <w:rPr>
          <w:rFonts w:ascii="Calibri" w:hAnsi="Calibri" w:cs="Calibri"/>
          <w:color w:val="000000"/>
        </w:rPr>
        <w:t xml:space="preserve"> risk</w:t>
      </w:r>
      <w:r w:rsidR="00C44534">
        <w:rPr>
          <w:rFonts w:ascii="Calibri" w:hAnsi="Calibri" w:cs="Calibri"/>
          <w:color w:val="000000"/>
        </w:rPr>
        <w:t>,</w:t>
      </w:r>
      <w:r w:rsidR="00277DE6">
        <w:rPr>
          <w:rFonts w:ascii="Calibri" w:hAnsi="Calibri" w:cs="Calibri"/>
          <w:color w:val="000000"/>
        </w:rPr>
        <w:t xml:space="preserve"> operations</w:t>
      </w:r>
      <w:r w:rsidR="00C44534">
        <w:rPr>
          <w:rFonts w:ascii="Calibri" w:hAnsi="Calibri" w:cs="Calibri"/>
          <w:color w:val="000000"/>
        </w:rPr>
        <w:t>,</w:t>
      </w:r>
      <w:r w:rsidR="00765A93" w:rsidRPr="00765A93">
        <w:rPr>
          <w:rFonts w:ascii="Calibri" w:hAnsi="Calibri" w:cs="Calibri"/>
          <w:color w:val="000000"/>
        </w:rPr>
        <w:t xml:space="preserve"> management and governance. The results of the survey </w:t>
      </w:r>
      <w:r w:rsidR="0020791B">
        <w:rPr>
          <w:rFonts w:ascii="Calibri" w:hAnsi="Calibri" w:cs="Calibri"/>
          <w:color w:val="000000"/>
        </w:rPr>
        <w:t xml:space="preserve">have </w:t>
      </w:r>
      <w:r w:rsidR="00203651">
        <w:rPr>
          <w:rFonts w:ascii="Calibri" w:hAnsi="Calibri" w:cs="Calibri"/>
          <w:color w:val="000000"/>
        </w:rPr>
        <w:t>suggested</w:t>
      </w:r>
      <w:r w:rsidR="00BE5B77">
        <w:rPr>
          <w:rFonts w:ascii="Calibri" w:hAnsi="Calibri" w:cs="Calibri"/>
          <w:color w:val="000000"/>
        </w:rPr>
        <w:t xml:space="preserve"> </w:t>
      </w:r>
      <w:r w:rsidR="00DE77CE">
        <w:rPr>
          <w:rFonts w:ascii="Calibri" w:hAnsi="Calibri" w:cs="Calibri"/>
          <w:color w:val="000000"/>
        </w:rPr>
        <w:t>the need for more targeted actions</w:t>
      </w:r>
      <w:r w:rsidR="00765A93" w:rsidRPr="00765A93">
        <w:rPr>
          <w:rFonts w:ascii="Calibri" w:hAnsi="Calibri" w:cs="Calibri"/>
          <w:color w:val="000000"/>
        </w:rPr>
        <w:t xml:space="preserve"> </w:t>
      </w:r>
      <w:r w:rsidR="00A809C9">
        <w:rPr>
          <w:rFonts w:ascii="Calibri" w:hAnsi="Calibri" w:cs="Calibri"/>
          <w:color w:val="000000"/>
        </w:rPr>
        <w:t xml:space="preserve">to </w:t>
      </w:r>
      <w:r w:rsidR="00277DE6">
        <w:rPr>
          <w:rFonts w:ascii="Calibri" w:hAnsi="Calibri" w:cs="Calibri"/>
          <w:color w:val="000000"/>
        </w:rPr>
        <w:t xml:space="preserve">encourage </w:t>
      </w:r>
      <w:r w:rsidR="00765A93">
        <w:rPr>
          <w:rFonts w:ascii="Calibri" w:hAnsi="Calibri" w:cs="Calibri"/>
        </w:rPr>
        <w:t xml:space="preserve">the financial </w:t>
      </w:r>
      <w:r w:rsidR="00DE77CE">
        <w:rPr>
          <w:rFonts w:ascii="Calibri" w:hAnsi="Calibri" w:cs="Calibri"/>
        </w:rPr>
        <w:t>industry</w:t>
      </w:r>
      <w:r w:rsidR="00D5577E">
        <w:rPr>
          <w:rFonts w:ascii="Calibri" w:hAnsi="Calibri" w:cs="Calibri"/>
        </w:rPr>
        <w:t xml:space="preserve">’s role in </w:t>
      </w:r>
      <w:r w:rsidR="005F277A">
        <w:rPr>
          <w:rFonts w:ascii="Calibri" w:hAnsi="Calibri" w:cs="Calibri"/>
        </w:rPr>
        <w:t xml:space="preserve">catalysing </w:t>
      </w:r>
      <w:r w:rsidR="00D5577E">
        <w:rPr>
          <w:rFonts w:ascii="Calibri" w:hAnsi="Calibri" w:cs="Calibri"/>
        </w:rPr>
        <w:t>the sustainability agenda</w:t>
      </w:r>
      <w:r w:rsidR="00765A93">
        <w:rPr>
          <w:rFonts w:ascii="Calibri" w:hAnsi="Calibri" w:cs="Calibri"/>
        </w:rPr>
        <w:t>. T</w:t>
      </w:r>
      <w:r w:rsidR="00900FDF">
        <w:rPr>
          <w:rFonts w:ascii="Calibri" w:hAnsi="Calibri" w:cs="Calibri"/>
        </w:rPr>
        <w:t>he Roadmap</w:t>
      </w:r>
      <w:r>
        <w:rPr>
          <w:rFonts w:ascii="Calibri" w:hAnsi="Calibri" w:cs="Calibri"/>
        </w:rPr>
        <w:t xml:space="preserve"> made by way of a public statement</w:t>
      </w:r>
      <w:r w:rsidR="00900FDF">
        <w:rPr>
          <w:rFonts w:ascii="Calibri" w:hAnsi="Calibri" w:cs="Calibri"/>
        </w:rPr>
        <w:t xml:space="preserve"> </w:t>
      </w:r>
      <w:r w:rsidR="00D5577E">
        <w:rPr>
          <w:rFonts w:ascii="Calibri" w:hAnsi="Calibri" w:cs="Calibri"/>
        </w:rPr>
        <w:t xml:space="preserve">therefore </w:t>
      </w:r>
      <w:r w:rsidR="00900FDF">
        <w:rPr>
          <w:rFonts w:ascii="Calibri" w:hAnsi="Calibri" w:cs="Calibri"/>
        </w:rPr>
        <w:t xml:space="preserve">seeks to deliver </w:t>
      </w:r>
      <w:r w:rsidR="00765A93">
        <w:rPr>
          <w:rFonts w:ascii="Calibri" w:hAnsi="Calibri" w:cs="Calibri"/>
        </w:rPr>
        <w:t xml:space="preserve">upon </w:t>
      </w:r>
      <w:r w:rsidR="00900FDF">
        <w:rPr>
          <w:rFonts w:ascii="Calibri" w:hAnsi="Calibri" w:cs="Calibri"/>
        </w:rPr>
        <w:t xml:space="preserve">one of </w:t>
      </w:r>
      <w:r w:rsidR="00765A93">
        <w:rPr>
          <w:rFonts w:ascii="Calibri" w:hAnsi="Calibri" w:cs="Calibri"/>
        </w:rPr>
        <w:t xml:space="preserve">the survey’s </w:t>
      </w:r>
      <w:r w:rsidR="00900FDF">
        <w:rPr>
          <w:rFonts w:ascii="Calibri" w:hAnsi="Calibri" w:cs="Calibri"/>
        </w:rPr>
        <w:t xml:space="preserve">key </w:t>
      </w:r>
      <w:r w:rsidR="005F277A">
        <w:rPr>
          <w:rFonts w:ascii="Calibri" w:hAnsi="Calibri" w:cs="Calibri"/>
        </w:rPr>
        <w:t>outcomes</w:t>
      </w:r>
      <w:r w:rsidR="00121B29">
        <w:rPr>
          <w:rFonts w:ascii="Calibri" w:hAnsi="Calibri" w:cs="Calibri"/>
        </w:rPr>
        <w:t>.</w:t>
      </w:r>
    </w:p>
    <w:p w14:paraId="3336CC5A" w14:textId="77777777" w:rsidR="00D86B3A" w:rsidRDefault="00D86B3A" w:rsidP="0066723A">
      <w:pPr>
        <w:autoSpaceDE w:val="0"/>
        <w:autoSpaceDN w:val="0"/>
        <w:adjustRightInd w:val="0"/>
        <w:spacing w:before="120" w:after="120" w:line="240" w:lineRule="auto"/>
        <w:rPr>
          <w:rFonts w:ascii="Calibri" w:hAnsi="Calibri" w:cs="Calibri"/>
          <w:b/>
          <w:bCs/>
        </w:rPr>
      </w:pPr>
    </w:p>
    <w:p w14:paraId="6D8E2383" w14:textId="4D683E9C" w:rsidR="0066723A" w:rsidRPr="00B153B3" w:rsidRDefault="0066723A" w:rsidP="0066723A">
      <w:pPr>
        <w:autoSpaceDE w:val="0"/>
        <w:autoSpaceDN w:val="0"/>
        <w:adjustRightInd w:val="0"/>
        <w:spacing w:before="120" w:after="120" w:line="240" w:lineRule="auto"/>
        <w:rPr>
          <w:rFonts w:ascii="Calibri" w:hAnsi="Calibri" w:cs="Calibri"/>
          <w:b/>
          <w:bCs/>
        </w:rPr>
      </w:pPr>
      <w:r w:rsidRPr="00B153B3">
        <w:rPr>
          <w:rFonts w:ascii="Calibri" w:hAnsi="Calibri" w:cs="Calibri"/>
          <w:b/>
          <w:bCs/>
        </w:rPr>
        <w:t>A COORDINATED EFFORT TO A</w:t>
      </w:r>
      <w:r w:rsidR="00717E82">
        <w:rPr>
          <w:rFonts w:ascii="Calibri" w:hAnsi="Calibri" w:cs="Calibri"/>
          <w:b/>
          <w:bCs/>
        </w:rPr>
        <w:t>D</w:t>
      </w:r>
      <w:r w:rsidRPr="00B153B3">
        <w:rPr>
          <w:rFonts w:ascii="Calibri" w:hAnsi="Calibri" w:cs="Calibri"/>
          <w:b/>
          <w:bCs/>
        </w:rPr>
        <w:t>DRESS A GLOBAL CHALLENGE</w:t>
      </w:r>
      <w:r w:rsidR="00765A93">
        <w:rPr>
          <w:rFonts w:ascii="Calibri" w:hAnsi="Calibri" w:cs="Calibri"/>
          <w:b/>
          <w:bCs/>
        </w:rPr>
        <w:t xml:space="preserve"> </w:t>
      </w:r>
    </w:p>
    <w:p w14:paraId="00F53D26" w14:textId="448E957E" w:rsidR="0066723A" w:rsidRPr="00B153B3" w:rsidRDefault="0066723A" w:rsidP="00765A93">
      <w:pPr>
        <w:jc w:val="both"/>
        <w:rPr>
          <w:rFonts w:ascii="Calibri" w:hAnsi="Calibri" w:cs="Calibri"/>
          <w:color w:val="000000"/>
        </w:rPr>
      </w:pPr>
      <w:r w:rsidRPr="00765A93">
        <w:rPr>
          <w:rFonts w:ascii="Calibri" w:hAnsi="Calibri" w:cs="Calibri"/>
          <w:color w:val="000000"/>
        </w:rPr>
        <w:t>The UAE</w:t>
      </w:r>
      <w:r w:rsidR="00277DE6">
        <w:rPr>
          <w:rFonts w:ascii="Calibri" w:hAnsi="Calibri" w:cs="Calibri"/>
          <w:color w:val="000000"/>
        </w:rPr>
        <w:t xml:space="preserve"> </w:t>
      </w:r>
      <w:r w:rsidR="00277DE6" w:rsidRPr="00277DE6">
        <w:rPr>
          <w:rFonts w:ascii="Calibri" w:hAnsi="Calibri" w:cs="Calibri"/>
          <w:color w:val="000000"/>
        </w:rPr>
        <w:t>Sustainable Finance Working Group (SFWG)</w:t>
      </w:r>
      <w:r w:rsidRPr="00765A93">
        <w:rPr>
          <w:rFonts w:ascii="Calibri" w:hAnsi="Calibri" w:cs="Calibri"/>
          <w:color w:val="000000"/>
        </w:rPr>
        <w:t xml:space="preserve"> was launched </w:t>
      </w:r>
      <w:r w:rsidR="00FD1ED1">
        <w:rPr>
          <w:rFonts w:ascii="Calibri" w:hAnsi="Calibri" w:cs="Calibri"/>
          <w:color w:val="000000"/>
        </w:rPr>
        <w:t>by</w:t>
      </w:r>
      <w:r w:rsidR="005F277A">
        <w:rPr>
          <w:rFonts w:ascii="Calibri" w:hAnsi="Calibri" w:cs="Calibri"/>
          <w:color w:val="000000"/>
        </w:rPr>
        <w:t xml:space="preserve"> </w:t>
      </w:r>
      <w:r w:rsidR="005F277A" w:rsidRPr="005F277A">
        <w:rPr>
          <w:rFonts w:ascii="Calibri" w:hAnsi="Calibri" w:cs="Calibri"/>
          <w:color w:val="000000"/>
        </w:rPr>
        <w:t>Abu Dhabi Global Market</w:t>
      </w:r>
      <w:r w:rsidR="00FD1ED1">
        <w:rPr>
          <w:rFonts w:ascii="Calibri" w:hAnsi="Calibri" w:cs="Calibri"/>
          <w:color w:val="000000"/>
        </w:rPr>
        <w:t xml:space="preserve"> </w:t>
      </w:r>
      <w:r w:rsidR="005F277A">
        <w:rPr>
          <w:rFonts w:ascii="Calibri" w:hAnsi="Calibri" w:cs="Calibri"/>
          <w:color w:val="000000"/>
        </w:rPr>
        <w:t>(</w:t>
      </w:r>
      <w:r w:rsidR="00FD1ED1">
        <w:rPr>
          <w:rFonts w:ascii="Calibri" w:hAnsi="Calibri" w:cs="Calibri"/>
          <w:color w:val="000000"/>
        </w:rPr>
        <w:t>ADGM</w:t>
      </w:r>
      <w:r w:rsidR="005F277A">
        <w:rPr>
          <w:rFonts w:ascii="Calibri" w:hAnsi="Calibri" w:cs="Calibri"/>
          <w:color w:val="000000"/>
        </w:rPr>
        <w:t>)</w:t>
      </w:r>
      <w:r w:rsidR="00FD1ED1">
        <w:rPr>
          <w:rFonts w:ascii="Calibri" w:hAnsi="Calibri" w:cs="Calibri"/>
          <w:color w:val="000000"/>
        </w:rPr>
        <w:t xml:space="preserve"> </w:t>
      </w:r>
      <w:r w:rsidRPr="00765A93">
        <w:rPr>
          <w:rFonts w:ascii="Calibri" w:hAnsi="Calibri" w:cs="Calibri"/>
          <w:color w:val="000000"/>
        </w:rPr>
        <w:t xml:space="preserve">in 2019. </w:t>
      </w:r>
      <w:r w:rsidR="00A809C9">
        <w:rPr>
          <w:rFonts w:ascii="Calibri" w:hAnsi="Calibri" w:cs="Calibri"/>
          <w:color w:val="000000"/>
        </w:rPr>
        <w:t xml:space="preserve">The </w:t>
      </w:r>
      <w:r w:rsidR="00277DE6">
        <w:rPr>
          <w:rFonts w:ascii="Calibri" w:hAnsi="Calibri" w:cs="Calibri"/>
          <w:color w:val="000000"/>
        </w:rPr>
        <w:t xml:space="preserve">SFWG </w:t>
      </w:r>
      <w:r w:rsidR="00605102">
        <w:rPr>
          <w:rFonts w:ascii="Calibri" w:hAnsi="Calibri" w:cs="Calibri"/>
          <w:color w:val="000000"/>
        </w:rPr>
        <w:t xml:space="preserve">has </w:t>
      </w:r>
      <w:r w:rsidR="00A809C9">
        <w:rPr>
          <w:rFonts w:ascii="Calibri" w:hAnsi="Calibri" w:cs="Calibri"/>
          <w:color w:val="000000"/>
        </w:rPr>
        <w:t xml:space="preserve">expanded </w:t>
      </w:r>
      <w:r w:rsidR="005F277A">
        <w:rPr>
          <w:rFonts w:ascii="Calibri" w:hAnsi="Calibri" w:cs="Calibri"/>
          <w:color w:val="000000"/>
        </w:rPr>
        <w:t>since then</w:t>
      </w:r>
      <w:r w:rsidR="00A809C9">
        <w:rPr>
          <w:rFonts w:ascii="Calibri" w:hAnsi="Calibri" w:cs="Calibri"/>
          <w:color w:val="000000"/>
        </w:rPr>
        <w:t xml:space="preserve"> and now</w:t>
      </w:r>
      <w:r w:rsidR="00900FDF">
        <w:rPr>
          <w:rFonts w:ascii="Calibri" w:hAnsi="Calibri" w:cs="Calibri"/>
          <w:color w:val="000000"/>
        </w:rPr>
        <w:t xml:space="preserve"> </w:t>
      </w:r>
      <w:r w:rsidR="00A809C9">
        <w:rPr>
          <w:rFonts w:ascii="Calibri" w:hAnsi="Calibri" w:cs="Calibri"/>
          <w:color w:val="000000"/>
        </w:rPr>
        <w:t>comprises a range of</w:t>
      </w:r>
      <w:r w:rsidRPr="00765A93">
        <w:rPr>
          <w:rFonts w:ascii="Calibri" w:hAnsi="Calibri" w:cs="Calibri"/>
          <w:color w:val="000000"/>
        </w:rPr>
        <w:t xml:space="preserve"> </w:t>
      </w:r>
      <w:r w:rsidRPr="00B153B3">
        <w:rPr>
          <w:rFonts w:ascii="Calibri" w:hAnsi="Calibri" w:cs="Calibri"/>
          <w:color w:val="000000"/>
        </w:rPr>
        <w:t>regulatory authorities</w:t>
      </w:r>
      <w:r w:rsidR="00A809C9">
        <w:rPr>
          <w:rFonts w:ascii="Calibri" w:hAnsi="Calibri" w:cs="Calibri"/>
          <w:color w:val="000000"/>
        </w:rPr>
        <w:t>, exchanges</w:t>
      </w:r>
      <w:r w:rsidR="00900FDF">
        <w:rPr>
          <w:rFonts w:ascii="Calibri" w:hAnsi="Calibri" w:cs="Calibri"/>
          <w:color w:val="000000"/>
        </w:rPr>
        <w:t>,</w:t>
      </w:r>
      <w:r w:rsidR="004A1845">
        <w:rPr>
          <w:rFonts w:ascii="Calibri" w:hAnsi="Calibri" w:cs="Calibri"/>
          <w:color w:val="000000"/>
        </w:rPr>
        <w:t xml:space="preserve"> governmental bodies</w:t>
      </w:r>
      <w:r w:rsidR="00A809C9">
        <w:rPr>
          <w:rFonts w:ascii="Calibri" w:hAnsi="Calibri" w:cs="Calibri"/>
          <w:color w:val="000000"/>
        </w:rPr>
        <w:t xml:space="preserve"> and ministries</w:t>
      </w:r>
      <w:r w:rsidRPr="00B153B3">
        <w:rPr>
          <w:rFonts w:ascii="Calibri" w:hAnsi="Calibri" w:cs="Calibri"/>
          <w:color w:val="000000"/>
        </w:rPr>
        <w:t xml:space="preserve"> in the UAE in charge of developing environmental</w:t>
      </w:r>
      <w:r w:rsidR="00C32DA8">
        <w:rPr>
          <w:rFonts w:ascii="Calibri" w:hAnsi="Calibri" w:cs="Calibri"/>
          <w:color w:val="000000"/>
        </w:rPr>
        <w:t>ly sustainable finance policies</w:t>
      </w:r>
      <w:r w:rsidR="00D91CA1">
        <w:rPr>
          <w:rStyle w:val="FootnoteReference"/>
          <w:rFonts w:ascii="Calibri" w:hAnsi="Calibri" w:cs="Calibri"/>
          <w:color w:val="000000"/>
        </w:rPr>
        <w:footnoteReference w:id="3"/>
      </w:r>
      <w:r w:rsidR="00C32DA8">
        <w:rPr>
          <w:rFonts w:ascii="Calibri" w:hAnsi="Calibri" w:cs="Calibri"/>
          <w:color w:val="000000"/>
        </w:rPr>
        <w:t xml:space="preserve">. </w:t>
      </w:r>
    </w:p>
    <w:p w14:paraId="5B37854A" w14:textId="77777777" w:rsidR="0066723A" w:rsidRPr="00B153B3" w:rsidRDefault="0066723A" w:rsidP="00765A93">
      <w:pPr>
        <w:jc w:val="both"/>
        <w:rPr>
          <w:rFonts w:ascii="Calibri" w:hAnsi="Calibri" w:cs="Calibri"/>
          <w:color w:val="000000"/>
        </w:rPr>
      </w:pPr>
      <w:r w:rsidRPr="00B153B3">
        <w:rPr>
          <w:rFonts w:ascii="Calibri" w:hAnsi="Calibri" w:cs="Calibri"/>
          <w:color w:val="000000"/>
        </w:rPr>
        <w:t xml:space="preserve">The </w:t>
      </w:r>
      <w:r w:rsidR="00277DE6">
        <w:rPr>
          <w:rFonts w:ascii="Calibri" w:hAnsi="Calibri" w:cs="Calibri"/>
          <w:color w:val="000000"/>
        </w:rPr>
        <w:t>SFWG</w:t>
      </w:r>
      <w:r w:rsidR="00AA2AEC">
        <w:rPr>
          <w:rFonts w:ascii="Calibri" w:hAnsi="Calibri" w:cs="Calibri"/>
          <w:color w:val="000000"/>
        </w:rPr>
        <w:t xml:space="preserve"> </w:t>
      </w:r>
      <w:r w:rsidRPr="00B153B3">
        <w:rPr>
          <w:rFonts w:ascii="Calibri" w:hAnsi="Calibri" w:cs="Calibri"/>
          <w:color w:val="000000"/>
        </w:rPr>
        <w:t>aims to:</w:t>
      </w:r>
    </w:p>
    <w:p w14:paraId="7C014158" w14:textId="1396CAB7" w:rsidR="00B153B3" w:rsidRPr="0033695F" w:rsidRDefault="00B153B3" w:rsidP="00765A93">
      <w:pPr>
        <w:pStyle w:val="ListParagraph"/>
        <w:rPr>
          <w:rFonts w:asciiTheme="minorHAnsi" w:hAnsiTheme="minorHAnsi" w:cstheme="minorHAnsi"/>
          <w:sz w:val="22"/>
          <w:szCs w:val="22"/>
        </w:rPr>
      </w:pPr>
      <w:r w:rsidRPr="0033695F">
        <w:rPr>
          <w:rFonts w:asciiTheme="minorHAnsi" w:hAnsiTheme="minorHAnsi" w:cstheme="minorHAnsi"/>
          <w:sz w:val="22"/>
          <w:szCs w:val="22"/>
        </w:rPr>
        <w:t xml:space="preserve">Provide </w:t>
      </w:r>
      <w:r w:rsidR="00AA2AEC" w:rsidRPr="0033695F">
        <w:rPr>
          <w:rFonts w:asciiTheme="minorHAnsi" w:hAnsiTheme="minorHAnsi" w:cstheme="minorHAnsi"/>
          <w:sz w:val="22"/>
          <w:szCs w:val="22"/>
        </w:rPr>
        <w:t xml:space="preserve">the Authorities </w:t>
      </w:r>
      <w:r w:rsidRPr="0033695F">
        <w:rPr>
          <w:rFonts w:asciiTheme="minorHAnsi" w:hAnsiTheme="minorHAnsi" w:cstheme="minorHAnsi"/>
          <w:sz w:val="22"/>
          <w:szCs w:val="22"/>
        </w:rPr>
        <w:t xml:space="preserve">with a platform to jointly </w:t>
      </w:r>
      <w:r w:rsidR="0024442C">
        <w:rPr>
          <w:rFonts w:asciiTheme="minorHAnsi" w:hAnsiTheme="minorHAnsi" w:cstheme="minorHAnsi"/>
          <w:sz w:val="22"/>
          <w:szCs w:val="22"/>
        </w:rPr>
        <w:t>collaborate and agree</w:t>
      </w:r>
      <w:r w:rsidR="0033695F" w:rsidRPr="0033695F">
        <w:rPr>
          <w:rFonts w:asciiTheme="minorHAnsi" w:hAnsiTheme="minorHAnsi" w:cstheme="minorHAnsi"/>
          <w:sz w:val="22"/>
          <w:szCs w:val="22"/>
        </w:rPr>
        <w:t xml:space="preserve"> </w:t>
      </w:r>
      <w:r w:rsidR="00121B29">
        <w:rPr>
          <w:rFonts w:asciiTheme="minorHAnsi" w:hAnsiTheme="minorHAnsi" w:cstheme="minorHAnsi"/>
          <w:sz w:val="22"/>
          <w:szCs w:val="22"/>
        </w:rPr>
        <w:t xml:space="preserve">on </w:t>
      </w:r>
      <w:r w:rsidRPr="0033695F">
        <w:rPr>
          <w:rFonts w:asciiTheme="minorHAnsi" w:hAnsiTheme="minorHAnsi" w:cstheme="minorHAnsi"/>
          <w:sz w:val="22"/>
          <w:szCs w:val="22"/>
        </w:rPr>
        <w:t xml:space="preserve">the </w:t>
      </w:r>
      <w:r w:rsidR="00277DE6" w:rsidRPr="0033695F">
        <w:rPr>
          <w:rFonts w:asciiTheme="minorHAnsi" w:hAnsiTheme="minorHAnsi" w:cstheme="minorHAnsi"/>
          <w:sz w:val="22"/>
          <w:szCs w:val="22"/>
        </w:rPr>
        <w:t>Roadmap</w:t>
      </w:r>
      <w:r w:rsidRPr="0033695F">
        <w:rPr>
          <w:rFonts w:asciiTheme="minorHAnsi" w:hAnsiTheme="minorHAnsi" w:cstheme="minorHAnsi"/>
          <w:sz w:val="22"/>
          <w:szCs w:val="22"/>
        </w:rPr>
        <w:t xml:space="preserve">, </w:t>
      </w:r>
      <w:r w:rsidR="004B2D54" w:rsidRPr="0033695F">
        <w:rPr>
          <w:rFonts w:asciiTheme="minorHAnsi" w:hAnsiTheme="minorHAnsi" w:cstheme="minorHAnsi"/>
          <w:sz w:val="22"/>
          <w:szCs w:val="22"/>
        </w:rPr>
        <w:t xml:space="preserve">including </w:t>
      </w:r>
      <w:r w:rsidR="00FD1ED1" w:rsidRPr="0033695F">
        <w:rPr>
          <w:rFonts w:asciiTheme="minorHAnsi" w:hAnsiTheme="minorHAnsi" w:cstheme="minorHAnsi"/>
          <w:sz w:val="22"/>
          <w:szCs w:val="22"/>
        </w:rPr>
        <w:t>design</w:t>
      </w:r>
      <w:r w:rsidR="004B2D54" w:rsidRPr="0033695F">
        <w:rPr>
          <w:rFonts w:asciiTheme="minorHAnsi" w:hAnsiTheme="minorHAnsi" w:cstheme="minorHAnsi"/>
          <w:sz w:val="22"/>
          <w:szCs w:val="22"/>
        </w:rPr>
        <w:t>ing</w:t>
      </w:r>
      <w:r w:rsidR="00150AB2" w:rsidRPr="0033695F">
        <w:rPr>
          <w:rFonts w:asciiTheme="minorHAnsi" w:hAnsiTheme="minorHAnsi" w:cstheme="minorHAnsi"/>
          <w:sz w:val="22"/>
          <w:szCs w:val="22"/>
        </w:rPr>
        <w:t xml:space="preserve"> </w:t>
      </w:r>
      <w:r w:rsidR="004B2D54" w:rsidRPr="0033695F">
        <w:rPr>
          <w:rFonts w:asciiTheme="minorHAnsi" w:hAnsiTheme="minorHAnsi" w:cstheme="minorHAnsi"/>
          <w:sz w:val="22"/>
          <w:szCs w:val="22"/>
        </w:rPr>
        <w:t xml:space="preserve">appropriate </w:t>
      </w:r>
      <w:r w:rsidR="00150AB2" w:rsidRPr="0033695F">
        <w:rPr>
          <w:rFonts w:asciiTheme="minorHAnsi" w:hAnsiTheme="minorHAnsi" w:cstheme="minorHAnsi"/>
          <w:sz w:val="22"/>
          <w:szCs w:val="22"/>
        </w:rPr>
        <w:t xml:space="preserve">policies and regulatory tools as per each </w:t>
      </w:r>
      <w:r w:rsidR="00AA2AEC" w:rsidRPr="0033695F">
        <w:rPr>
          <w:rFonts w:asciiTheme="minorHAnsi" w:hAnsiTheme="minorHAnsi" w:cstheme="minorHAnsi"/>
          <w:sz w:val="22"/>
          <w:szCs w:val="22"/>
        </w:rPr>
        <w:t>Authority</w:t>
      </w:r>
      <w:r w:rsidR="004B2D54" w:rsidRPr="0033695F">
        <w:rPr>
          <w:rFonts w:asciiTheme="minorHAnsi" w:hAnsiTheme="minorHAnsi" w:cstheme="minorHAnsi"/>
          <w:sz w:val="22"/>
          <w:szCs w:val="22"/>
        </w:rPr>
        <w:t>’s</w:t>
      </w:r>
      <w:r w:rsidR="00AA2AEC" w:rsidRPr="0033695F">
        <w:rPr>
          <w:rFonts w:asciiTheme="minorHAnsi" w:hAnsiTheme="minorHAnsi" w:cstheme="minorHAnsi"/>
          <w:sz w:val="22"/>
          <w:szCs w:val="22"/>
        </w:rPr>
        <w:t xml:space="preserve"> </w:t>
      </w:r>
      <w:r w:rsidR="00150AB2" w:rsidRPr="0033695F">
        <w:rPr>
          <w:rFonts w:asciiTheme="minorHAnsi" w:hAnsiTheme="minorHAnsi" w:cstheme="minorHAnsi"/>
          <w:sz w:val="22"/>
          <w:szCs w:val="22"/>
        </w:rPr>
        <w:t>jurisdiction</w:t>
      </w:r>
      <w:r w:rsidR="00545DE7" w:rsidRPr="0033695F">
        <w:rPr>
          <w:rFonts w:asciiTheme="minorHAnsi" w:hAnsiTheme="minorHAnsi" w:cstheme="minorHAnsi"/>
          <w:sz w:val="22"/>
          <w:szCs w:val="22"/>
        </w:rPr>
        <w:t>.</w:t>
      </w:r>
    </w:p>
    <w:p w14:paraId="5734D3FD" w14:textId="6B787A59" w:rsidR="0066723A" w:rsidRPr="00765A93" w:rsidRDefault="00F57957" w:rsidP="00765A93">
      <w:pPr>
        <w:pStyle w:val="ListParagraph"/>
        <w:rPr>
          <w:rFonts w:asciiTheme="minorHAnsi" w:hAnsiTheme="minorHAnsi" w:cstheme="minorHAnsi"/>
          <w:sz w:val="22"/>
          <w:szCs w:val="22"/>
        </w:rPr>
      </w:pPr>
      <w:r>
        <w:rPr>
          <w:rFonts w:asciiTheme="minorHAnsi" w:hAnsiTheme="minorHAnsi" w:cstheme="minorHAnsi"/>
          <w:sz w:val="22"/>
          <w:szCs w:val="22"/>
        </w:rPr>
        <w:t xml:space="preserve">Help </w:t>
      </w:r>
      <w:r w:rsidR="003B2E8F">
        <w:rPr>
          <w:rFonts w:asciiTheme="minorHAnsi" w:hAnsiTheme="minorHAnsi" w:cstheme="minorHAnsi"/>
          <w:sz w:val="22"/>
          <w:szCs w:val="22"/>
        </w:rPr>
        <w:t>promote</w:t>
      </w:r>
      <w:r w:rsidRPr="00765A93">
        <w:rPr>
          <w:rFonts w:asciiTheme="minorHAnsi" w:hAnsiTheme="minorHAnsi" w:cstheme="minorHAnsi"/>
          <w:sz w:val="22"/>
          <w:szCs w:val="22"/>
        </w:rPr>
        <w:t xml:space="preserve"> </w:t>
      </w:r>
      <w:r w:rsidR="0066723A" w:rsidRPr="00765A93">
        <w:rPr>
          <w:rFonts w:asciiTheme="minorHAnsi" w:hAnsiTheme="minorHAnsi" w:cstheme="minorHAnsi"/>
          <w:sz w:val="22"/>
          <w:szCs w:val="22"/>
        </w:rPr>
        <w:t xml:space="preserve">regulatory consistency and coordination among </w:t>
      </w:r>
      <w:r w:rsidR="00B153B3" w:rsidRPr="00765A93">
        <w:rPr>
          <w:rFonts w:asciiTheme="minorHAnsi" w:hAnsiTheme="minorHAnsi" w:cstheme="minorHAnsi"/>
          <w:sz w:val="22"/>
          <w:szCs w:val="22"/>
        </w:rPr>
        <w:t>the Authorities</w:t>
      </w:r>
      <w:r w:rsidR="0066723A" w:rsidRPr="00765A93">
        <w:rPr>
          <w:rFonts w:asciiTheme="minorHAnsi" w:hAnsiTheme="minorHAnsi" w:cstheme="minorHAnsi"/>
          <w:sz w:val="22"/>
          <w:szCs w:val="22"/>
        </w:rPr>
        <w:t xml:space="preserve"> </w:t>
      </w:r>
      <w:r w:rsidR="00F47421">
        <w:rPr>
          <w:rFonts w:asciiTheme="minorHAnsi" w:hAnsiTheme="minorHAnsi" w:cstheme="minorHAnsi"/>
          <w:sz w:val="22"/>
          <w:szCs w:val="22"/>
        </w:rPr>
        <w:t>to</w:t>
      </w:r>
      <w:r w:rsidR="0066723A" w:rsidRPr="00765A93">
        <w:rPr>
          <w:rFonts w:asciiTheme="minorHAnsi" w:hAnsiTheme="minorHAnsi" w:cstheme="minorHAnsi"/>
          <w:sz w:val="22"/>
          <w:szCs w:val="22"/>
        </w:rPr>
        <w:t xml:space="preserve"> foster and integrat</w:t>
      </w:r>
      <w:r w:rsidR="00F47421">
        <w:rPr>
          <w:rFonts w:asciiTheme="minorHAnsi" w:hAnsiTheme="minorHAnsi" w:cstheme="minorHAnsi"/>
          <w:sz w:val="22"/>
          <w:szCs w:val="22"/>
        </w:rPr>
        <w:t>e</w:t>
      </w:r>
      <w:r w:rsidR="0066723A" w:rsidRPr="00765A93">
        <w:rPr>
          <w:rFonts w:asciiTheme="minorHAnsi" w:hAnsiTheme="minorHAnsi" w:cstheme="minorHAnsi"/>
          <w:sz w:val="22"/>
          <w:szCs w:val="22"/>
        </w:rPr>
        <w:t xml:space="preserve"> sustainable finance in the UAE.</w:t>
      </w:r>
    </w:p>
    <w:p w14:paraId="20B5770A" w14:textId="77777777" w:rsidR="00B153B3" w:rsidRPr="00765A93" w:rsidRDefault="00B153B3" w:rsidP="00765A93">
      <w:pPr>
        <w:pStyle w:val="ListParagraph"/>
        <w:rPr>
          <w:rFonts w:asciiTheme="minorHAnsi" w:hAnsiTheme="minorHAnsi" w:cstheme="minorHAnsi"/>
          <w:sz w:val="22"/>
          <w:szCs w:val="22"/>
        </w:rPr>
      </w:pPr>
      <w:r w:rsidRPr="00765A93">
        <w:rPr>
          <w:rFonts w:asciiTheme="minorHAnsi" w:hAnsiTheme="minorHAnsi" w:cstheme="minorHAnsi"/>
          <w:sz w:val="22"/>
          <w:szCs w:val="22"/>
        </w:rPr>
        <w:t xml:space="preserve">Compare and coordinate efforts on initiatives and approaches to environmentally sustainable finance, while </w:t>
      </w:r>
      <w:r w:rsidR="006C6F31">
        <w:rPr>
          <w:rFonts w:asciiTheme="minorHAnsi" w:hAnsiTheme="minorHAnsi" w:cstheme="minorHAnsi"/>
          <w:sz w:val="22"/>
          <w:szCs w:val="22"/>
        </w:rPr>
        <w:t>considering</w:t>
      </w:r>
      <w:r w:rsidRPr="00765A93">
        <w:rPr>
          <w:rFonts w:asciiTheme="minorHAnsi" w:hAnsiTheme="minorHAnsi" w:cstheme="minorHAnsi"/>
          <w:sz w:val="22"/>
          <w:szCs w:val="22"/>
        </w:rPr>
        <w:t xml:space="preserve"> national and international contexts.</w:t>
      </w:r>
    </w:p>
    <w:p w14:paraId="6CA48436" w14:textId="77777777" w:rsidR="00277DE6" w:rsidRPr="00277DE6" w:rsidRDefault="0066723A" w:rsidP="00277DE6">
      <w:pPr>
        <w:pStyle w:val="ListParagraph"/>
        <w:rPr>
          <w:rFonts w:asciiTheme="minorHAnsi" w:hAnsiTheme="minorHAnsi" w:cstheme="minorHAnsi"/>
          <w:sz w:val="22"/>
          <w:szCs w:val="22"/>
        </w:rPr>
      </w:pPr>
      <w:r w:rsidRPr="00765A93">
        <w:rPr>
          <w:rFonts w:asciiTheme="minorHAnsi" w:hAnsiTheme="minorHAnsi" w:cstheme="minorHAnsi"/>
          <w:sz w:val="22"/>
          <w:szCs w:val="22"/>
        </w:rPr>
        <w:t>Facilitate a constructive dialogue on sustainable finance between all stakeholders, including financial community,</w:t>
      </w:r>
      <w:r w:rsidR="00B153B3" w:rsidRPr="00765A93">
        <w:rPr>
          <w:rFonts w:asciiTheme="minorHAnsi" w:hAnsiTheme="minorHAnsi" w:cstheme="minorHAnsi"/>
          <w:sz w:val="22"/>
          <w:szCs w:val="22"/>
        </w:rPr>
        <w:t xml:space="preserve"> business and the public sector. Given the horizontal nature of its tasks, the Group cooperates closely with</w:t>
      </w:r>
      <w:r w:rsidR="004B2D54">
        <w:rPr>
          <w:rFonts w:asciiTheme="minorHAnsi" w:hAnsiTheme="minorHAnsi" w:cstheme="minorHAnsi"/>
          <w:sz w:val="22"/>
          <w:szCs w:val="22"/>
        </w:rPr>
        <w:t xml:space="preserve"> relevant stakeholder groups including</w:t>
      </w:r>
      <w:r w:rsidR="00B153B3" w:rsidRPr="00765A93">
        <w:rPr>
          <w:rFonts w:asciiTheme="minorHAnsi" w:hAnsiTheme="minorHAnsi" w:cstheme="minorHAnsi"/>
          <w:sz w:val="22"/>
          <w:szCs w:val="22"/>
        </w:rPr>
        <w:t xml:space="preserve"> the signatories of the Abu Dhabi and Dubai Sustainable Finance Declaration</w:t>
      </w:r>
      <w:r w:rsidR="00AA2AEC">
        <w:rPr>
          <w:rFonts w:asciiTheme="minorHAnsi" w:hAnsiTheme="minorHAnsi" w:cstheme="minorHAnsi"/>
          <w:sz w:val="22"/>
          <w:szCs w:val="22"/>
        </w:rPr>
        <w:t>s</w:t>
      </w:r>
      <w:r w:rsidR="00B153B3" w:rsidRPr="00765A93">
        <w:rPr>
          <w:rFonts w:asciiTheme="minorHAnsi" w:hAnsiTheme="minorHAnsi" w:cstheme="minorHAnsi"/>
          <w:sz w:val="22"/>
          <w:szCs w:val="22"/>
        </w:rPr>
        <w:t xml:space="preserve"> and other UAE </w:t>
      </w:r>
      <w:r w:rsidR="004B2D54">
        <w:rPr>
          <w:rFonts w:asciiTheme="minorHAnsi" w:hAnsiTheme="minorHAnsi" w:cstheme="minorHAnsi"/>
          <w:sz w:val="22"/>
          <w:szCs w:val="22"/>
        </w:rPr>
        <w:t>c</w:t>
      </w:r>
      <w:r w:rsidR="00B153B3" w:rsidRPr="00765A93">
        <w:rPr>
          <w:rFonts w:asciiTheme="minorHAnsi" w:hAnsiTheme="minorHAnsi" w:cstheme="minorHAnsi"/>
          <w:sz w:val="22"/>
          <w:szCs w:val="22"/>
        </w:rPr>
        <w:t>ommittees.</w:t>
      </w:r>
    </w:p>
    <w:p w14:paraId="7E70F3B0" w14:textId="0369F83B" w:rsidR="006B7EA9" w:rsidRPr="00710C11" w:rsidRDefault="00D86B3A" w:rsidP="00710C11">
      <w:pPr>
        <w:rPr>
          <w:rFonts w:ascii="Calibri" w:hAnsi="Calibri" w:cs="Calibri"/>
        </w:rPr>
      </w:pPr>
      <w:r>
        <w:rPr>
          <w:rFonts w:ascii="Calibri" w:hAnsi="Calibri" w:cs="Calibri"/>
          <w:b/>
          <w:bCs/>
        </w:rPr>
        <w:lastRenderedPageBreak/>
        <w:t xml:space="preserve">DELIVERABLES OF THE ROADMAP (The Deliverables) </w:t>
      </w:r>
    </w:p>
    <w:p w14:paraId="49708DE9" w14:textId="469ED18E" w:rsidR="00545DE7" w:rsidRPr="00D86B3A" w:rsidRDefault="00763F40" w:rsidP="00710C11">
      <w:pPr>
        <w:jc w:val="both"/>
        <w:rPr>
          <w:rFonts w:cstheme="minorHAnsi"/>
        </w:rPr>
      </w:pPr>
      <w:r>
        <w:rPr>
          <w:rFonts w:cs="Times New Roman"/>
          <w:noProof/>
          <w:szCs w:val="24"/>
        </w:rPr>
        <w:t xml:space="preserve">This </w:t>
      </w:r>
      <w:r w:rsidR="00E76CA5">
        <w:rPr>
          <w:rFonts w:cs="Times New Roman"/>
          <w:noProof/>
          <w:szCs w:val="24"/>
        </w:rPr>
        <w:t>Roadmap</w:t>
      </w:r>
      <w:r w:rsidR="006B7EA9">
        <w:rPr>
          <w:rFonts w:cs="Times New Roman"/>
          <w:noProof/>
          <w:szCs w:val="24"/>
        </w:rPr>
        <w:t xml:space="preserve"> </w:t>
      </w:r>
      <w:r>
        <w:rPr>
          <w:rFonts w:cs="Times New Roman"/>
          <w:noProof/>
          <w:szCs w:val="24"/>
        </w:rPr>
        <w:t xml:space="preserve">details the SFWG’s direction of travel </w:t>
      </w:r>
      <w:r w:rsidR="006B7EA9">
        <w:rPr>
          <w:rFonts w:cs="Times New Roman"/>
          <w:noProof/>
          <w:szCs w:val="24"/>
        </w:rPr>
        <w:t>on sustainable finance</w:t>
      </w:r>
      <w:r w:rsidR="00605102">
        <w:rPr>
          <w:rFonts w:cs="Times New Roman"/>
          <w:noProof/>
          <w:szCs w:val="24"/>
        </w:rPr>
        <w:t>,</w:t>
      </w:r>
      <w:r w:rsidR="006B7EA9">
        <w:rPr>
          <w:rFonts w:cs="Times New Roman"/>
          <w:noProof/>
          <w:szCs w:val="24"/>
        </w:rPr>
        <w:t xml:space="preserve"> </w:t>
      </w:r>
      <w:r w:rsidR="007F26ED">
        <w:rPr>
          <w:rFonts w:cs="Times New Roman"/>
          <w:noProof/>
          <w:szCs w:val="24"/>
        </w:rPr>
        <w:t>which will guide its future work. In particular, t</w:t>
      </w:r>
      <w:r w:rsidR="00E76CA5" w:rsidRPr="00545DE7">
        <w:rPr>
          <w:rFonts w:cs="Times New Roman"/>
          <w:noProof/>
          <w:szCs w:val="24"/>
        </w:rPr>
        <w:t xml:space="preserve">he </w:t>
      </w:r>
      <w:r w:rsidR="00277DE6">
        <w:rPr>
          <w:rFonts w:ascii="Calibri" w:hAnsi="Calibri" w:cs="Calibri"/>
          <w:color w:val="000000"/>
        </w:rPr>
        <w:t>SFWG</w:t>
      </w:r>
      <w:r w:rsidR="003B2E8F" w:rsidRPr="00545DE7">
        <w:rPr>
          <w:rFonts w:cs="Times New Roman"/>
          <w:noProof/>
          <w:szCs w:val="24"/>
        </w:rPr>
        <w:t xml:space="preserve"> </w:t>
      </w:r>
      <w:r w:rsidR="00B153B3" w:rsidRPr="00545DE7">
        <w:rPr>
          <w:rFonts w:cs="Times New Roman"/>
          <w:noProof/>
          <w:szCs w:val="24"/>
        </w:rPr>
        <w:t xml:space="preserve">will </w:t>
      </w:r>
      <w:r w:rsidR="00545DE7" w:rsidRPr="00545DE7">
        <w:rPr>
          <w:rFonts w:cs="Times New Roman"/>
          <w:noProof/>
          <w:szCs w:val="24"/>
        </w:rPr>
        <w:t xml:space="preserve">aim to </w:t>
      </w:r>
      <w:r w:rsidR="003D76C5">
        <w:rPr>
          <w:rFonts w:cs="Times New Roman"/>
          <w:noProof/>
          <w:szCs w:val="24"/>
        </w:rPr>
        <w:t xml:space="preserve"> i)</w:t>
      </w:r>
      <w:r w:rsidR="00545DE7" w:rsidRPr="00545DE7">
        <w:rPr>
          <w:rFonts w:cs="Times New Roman"/>
          <w:noProof/>
          <w:szCs w:val="24"/>
        </w:rPr>
        <w:t xml:space="preserve"> </w:t>
      </w:r>
      <w:r>
        <w:rPr>
          <w:rFonts w:cs="Times New Roman"/>
          <w:noProof/>
          <w:szCs w:val="24"/>
        </w:rPr>
        <w:t>examine</w:t>
      </w:r>
      <w:r w:rsidRPr="00545DE7">
        <w:rPr>
          <w:rFonts w:cs="Times New Roman"/>
          <w:noProof/>
          <w:szCs w:val="24"/>
        </w:rPr>
        <w:t xml:space="preserve"> </w:t>
      </w:r>
      <w:r w:rsidR="00545DE7" w:rsidRPr="00545DE7">
        <w:rPr>
          <w:rFonts w:cs="Times New Roman"/>
          <w:noProof/>
          <w:szCs w:val="24"/>
        </w:rPr>
        <w:t xml:space="preserve">how </w:t>
      </w:r>
      <w:r w:rsidR="0024442C">
        <w:rPr>
          <w:rFonts w:cs="Times New Roman"/>
          <w:noProof/>
          <w:szCs w:val="24"/>
        </w:rPr>
        <w:t xml:space="preserve">consistent </w:t>
      </w:r>
      <w:r>
        <w:rPr>
          <w:rFonts w:cs="Times New Roman"/>
          <w:noProof/>
          <w:szCs w:val="24"/>
        </w:rPr>
        <w:t xml:space="preserve">corporate </w:t>
      </w:r>
      <w:r w:rsidR="00545DE7" w:rsidRPr="00545DE7">
        <w:rPr>
          <w:rFonts w:cs="Times New Roman"/>
          <w:noProof/>
          <w:szCs w:val="24"/>
        </w:rPr>
        <w:t>disclosure standards could be considered and implemented across the UAE</w:t>
      </w:r>
      <w:r w:rsidR="003D76C5">
        <w:rPr>
          <w:rFonts w:cs="Times New Roman"/>
          <w:noProof/>
          <w:szCs w:val="24"/>
        </w:rPr>
        <w:t>;</w:t>
      </w:r>
      <w:r w:rsidR="00545DE7" w:rsidRPr="00545DE7">
        <w:rPr>
          <w:rFonts w:cs="Times New Roman"/>
          <w:noProof/>
          <w:szCs w:val="24"/>
        </w:rPr>
        <w:t xml:space="preserve"> </w:t>
      </w:r>
      <w:r>
        <w:rPr>
          <w:rFonts w:cs="Times New Roman"/>
          <w:noProof/>
          <w:szCs w:val="24"/>
        </w:rPr>
        <w:t xml:space="preserve"> </w:t>
      </w:r>
      <w:r w:rsidR="003D76C5">
        <w:rPr>
          <w:rFonts w:cs="Times New Roman"/>
          <w:noProof/>
          <w:szCs w:val="24"/>
        </w:rPr>
        <w:t>ii) encourage</w:t>
      </w:r>
      <w:r w:rsidR="00545DE7" w:rsidRPr="00545DE7">
        <w:rPr>
          <w:rFonts w:cs="Times New Roman"/>
          <w:noProof/>
          <w:szCs w:val="24"/>
        </w:rPr>
        <w:t xml:space="preserve"> </w:t>
      </w:r>
      <w:r w:rsidR="008614D5">
        <w:rPr>
          <w:rFonts w:cs="Times New Roman"/>
          <w:noProof/>
          <w:szCs w:val="24"/>
        </w:rPr>
        <w:t xml:space="preserve">good corporate </w:t>
      </w:r>
      <w:r w:rsidR="00545DE7" w:rsidRPr="00545DE7">
        <w:rPr>
          <w:rFonts w:cs="Times New Roman"/>
          <w:noProof/>
          <w:szCs w:val="24"/>
        </w:rPr>
        <w:t>governance</w:t>
      </w:r>
      <w:r w:rsidR="00545DE7">
        <w:rPr>
          <w:rFonts w:cs="Times New Roman"/>
          <w:noProof/>
          <w:szCs w:val="24"/>
        </w:rPr>
        <w:t xml:space="preserve"> </w:t>
      </w:r>
      <w:r w:rsidR="003D76C5">
        <w:rPr>
          <w:rFonts w:cs="Times New Roman"/>
          <w:noProof/>
          <w:szCs w:val="24"/>
        </w:rPr>
        <w:t>by</w:t>
      </w:r>
      <w:r w:rsidR="00545DE7">
        <w:rPr>
          <w:rFonts w:cs="Times New Roman"/>
          <w:noProof/>
          <w:szCs w:val="24"/>
        </w:rPr>
        <w:t xml:space="preserve"> </w:t>
      </w:r>
      <w:r w:rsidR="008614D5">
        <w:rPr>
          <w:rFonts w:cs="Times New Roman"/>
          <w:noProof/>
          <w:szCs w:val="24"/>
        </w:rPr>
        <w:t>companies</w:t>
      </w:r>
      <w:r w:rsidR="00D91CA1">
        <w:rPr>
          <w:rFonts w:cs="Times New Roman"/>
          <w:noProof/>
          <w:szCs w:val="24"/>
        </w:rPr>
        <w:t xml:space="preserve"> and iii)</w:t>
      </w:r>
      <w:r w:rsidR="00D91CA1" w:rsidRPr="00D91CA1">
        <w:rPr>
          <w:rFonts w:cs="Times New Roman"/>
          <w:noProof/>
          <w:szCs w:val="24"/>
        </w:rPr>
        <w:t xml:space="preserve"> </w:t>
      </w:r>
      <w:r w:rsidR="00D91CA1" w:rsidRPr="00545DE7">
        <w:rPr>
          <w:rFonts w:cs="Times New Roman"/>
          <w:noProof/>
          <w:szCs w:val="24"/>
        </w:rPr>
        <w:t>develop a UAE taxonomy</w:t>
      </w:r>
      <w:r w:rsidR="00121B29">
        <w:rPr>
          <w:rFonts w:cs="Times New Roman"/>
          <w:noProof/>
          <w:szCs w:val="24"/>
        </w:rPr>
        <w:t xml:space="preserve"> of sustainable activities</w:t>
      </w:r>
      <w:r w:rsidR="00D91CA1" w:rsidRPr="00545DE7">
        <w:rPr>
          <w:rFonts w:cs="Times New Roman"/>
          <w:noProof/>
          <w:szCs w:val="24"/>
        </w:rPr>
        <w:t xml:space="preserve">, which is key for </w:t>
      </w:r>
      <w:r w:rsidR="00D91CA1">
        <w:rPr>
          <w:rFonts w:cs="Times New Roman"/>
          <w:noProof/>
          <w:szCs w:val="24"/>
        </w:rPr>
        <w:t xml:space="preserve">the </w:t>
      </w:r>
      <w:r w:rsidR="00D91CA1" w:rsidRPr="00545DE7">
        <w:rPr>
          <w:rFonts w:cs="Times New Roman"/>
          <w:noProof/>
          <w:szCs w:val="24"/>
        </w:rPr>
        <w:t>UAE’s sustainable economic transitio</w:t>
      </w:r>
      <w:r w:rsidR="00D91CA1">
        <w:rPr>
          <w:rFonts w:cs="Times New Roman"/>
          <w:noProof/>
          <w:szCs w:val="24"/>
        </w:rPr>
        <w:t xml:space="preserve">n </w:t>
      </w:r>
    </w:p>
    <w:p w14:paraId="7E00EF2B" w14:textId="77777777" w:rsidR="006B7EA9" w:rsidRPr="00545DE7" w:rsidRDefault="006B7EA9" w:rsidP="00710C11">
      <w:pPr>
        <w:pStyle w:val="ListParagraph"/>
        <w:numPr>
          <w:ilvl w:val="0"/>
          <w:numId w:val="25"/>
        </w:numPr>
        <w:rPr>
          <w:rFonts w:cstheme="minorHAnsi"/>
          <w:b/>
        </w:rPr>
      </w:pPr>
      <w:r w:rsidRPr="00545DE7">
        <w:rPr>
          <w:rFonts w:cstheme="minorHAnsi"/>
          <w:b/>
        </w:rPr>
        <w:t>Disclosure</w:t>
      </w:r>
    </w:p>
    <w:p w14:paraId="04E4486D" w14:textId="35322372" w:rsidR="00150AB2" w:rsidRPr="00545DE7" w:rsidRDefault="00E76CA5" w:rsidP="00876187">
      <w:pPr>
        <w:jc w:val="both"/>
        <w:rPr>
          <w:rFonts w:ascii="Calibri" w:hAnsi="Calibri" w:cs="Calibri"/>
        </w:rPr>
      </w:pPr>
      <w:r>
        <w:rPr>
          <w:rFonts w:ascii="Calibri" w:hAnsi="Calibri" w:cs="Calibri"/>
        </w:rPr>
        <w:t>R</w:t>
      </w:r>
      <w:r w:rsidR="006B7EA9" w:rsidRPr="00E76CA5">
        <w:rPr>
          <w:rFonts w:ascii="Calibri" w:hAnsi="Calibri" w:cs="Calibri"/>
        </w:rPr>
        <w:t xml:space="preserve">eporting on sustainability </w:t>
      </w:r>
      <w:r w:rsidR="00FD1ED1">
        <w:rPr>
          <w:rFonts w:ascii="Calibri" w:hAnsi="Calibri" w:cs="Calibri"/>
        </w:rPr>
        <w:t>risks</w:t>
      </w:r>
      <w:r w:rsidR="006B7EA9" w:rsidRPr="00E76CA5">
        <w:rPr>
          <w:rFonts w:ascii="Calibri" w:hAnsi="Calibri" w:cs="Calibri"/>
        </w:rPr>
        <w:t xml:space="preserve"> enables investors and stakeholders to assess companies' long-term value creation and sustainability risk exposure. Going forward, an appropriate balance needs to be struck between flexibility and the standardisation of </w:t>
      </w:r>
      <w:r w:rsidR="0024442C">
        <w:rPr>
          <w:rFonts w:ascii="Calibri" w:hAnsi="Calibri" w:cs="Calibri"/>
        </w:rPr>
        <w:t xml:space="preserve">clear and transparent </w:t>
      </w:r>
      <w:r w:rsidR="006B7EA9" w:rsidRPr="00E76CA5">
        <w:rPr>
          <w:rFonts w:ascii="Calibri" w:hAnsi="Calibri" w:cs="Calibri"/>
        </w:rPr>
        <w:t>disclosure necessary to generate the data needed for investment decisions. In terms of disclosure by the financial sector, there is merit in enhancing transparency including the way in which sustainability risks and exposure to climate-related risks</w:t>
      </w:r>
      <w:r w:rsidRPr="00E76CA5">
        <w:rPr>
          <w:rFonts w:ascii="Calibri" w:hAnsi="Calibri" w:cs="Calibri"/>
        </w:rPr>
        <w:t xml:space="preserve"> are </w:t>
      </w:r>
      <w:r w:rsidR="00F47421">
        <w:rPr>
          <w:rFonts w:ascii="Calibri" w:hAnsi="Calibri" w:cs="Calibri"/>
        </w:rPr>
        <w:t>considered</w:t>
      </w:r>
      <w:r w:rsidR="006B7EA9" w:rsidRPr="00E76CA5">
        <w:rPr>
          <w:rFonts w:ascii="Calibri" w:hAnsi="Calibri" w:cs="Calibri"/>
        </w:rPr>
        <w:t xml:space="preserve">. </w:t>
      </w:r>
    </w:p>
    <w:tbl>
      <w:tblPr>
        <w:tblStyle w:val="TableGrid"/>
        <w:tblW w:w="0" w:type="auto"/>
        <w:tblLook w:val="04A0" w:firstRow="1" w:lastRow="0" w:firstColumn="1" w:lastColumn="0" w:noHBand="0" w:noVBand="1"/>
      </w:tblPr>
      <w:tblGrid>
        <w:gridCol w:w="9350"/>
      </w:tblGrid>
      <w:tr w:rsidR="00E76CA5" w14:paraId="6EE5DF58" w14:textId="77777777" w:rsidTr="00E76CA5">
        <w:tc>
          <w:tcPr>
            <w:tcW w:w="9350" w:type="dxa"/>
          </w:tcPr>
          <w:p w14:paraId="44BB1E31" w14:textId="244F3B3C" w:rsidR="00E76CA5" w:rsidRPr="00E414DB" w:rsidRDefault="00E76CA5" w:rsidP="00710C11">
            <w:pPr>
              <w:jc w:val="both"/>
              <w:rPr>
                <w:rFonts w:ascii="Calibri" w:hAnsi="Calibri" w:cs="Calibri"/>
                <w:b/>
                <w:i/>
              </w:rPr>
            </w:pPr>
            <w:r w:rsidRPr="00E414DB">
              <w:rPr>
                <w:rFonts w:ascii="Calibri" w:hAnsi="Calibri" w:cs="Calibri"/>
                <w:b/>
                <w:i/>
              </w:rPr>
              <w:t>Action 1: Strengthe</w:t>
            </w:r>
            <w:r w:rsidR="00705A03">
              <w:rPr>
                <w:rFonts w:ascii="Calibri" w:hAnsi="Calibri" w:cs="Calibri"/>
                <w:b/>
                <w:i/>
              </w:rPr>
              <w:t xml:space="preserve">ning </w:t>
            </w:r>
            <w:r w:rsidR="0070578C">
              <w:rPr>
                <w:rFonts w:ascii="Calibri" w:hAnsi="Calibri" w:cs="Calibri"/>
                <w:b/>
                <w:i/>
              </w:rPr>
              <w:t>s</w:t>
            </w:r>
            <w:r w:rsidR="00705A03">
              <w:rPr>
                <w:rFonts w:ascii="Calibri" w:hAnsi="Calibri" w:cs="Calibri"/>
                <w:b/>
                <w:i/>
              </w:rPr>
              <w:t>ustainability disclosure</w:t>
            </w:r>
          </w:p>
          <w:p w14:paraId="5982182A" w14:textId="77777777" w:rsidR="00E76CA5" w:rsidRDefault="00E76CA5" w:rsidP="00710C11">
            <w:pPr>
              <w:jc w:val="both"/>
              <w:rPr>
                <w:rFonts w:ascii="Calibri" w:hAnsi="Calibri" w:cs="Calibri"/>
              </w:rPr>
            </w:pPr>
          </w:p>
        </w:tc>
      </w:tr>
      <w:tr w:rsidR="00E76CA5" w14:paraId="7B720338" w14:textId="77777777" w:rsidTr="00E76CA5">
        <w:tc>
          <w:tcPr>
            <w:tcW w:w="9350" w:type="dxa"/>
          </w:tcPr>
          <w:p w14:paraId="03B615E1" w14:textId="1C063A40" w:rsidR="00F57957" w:rsidRDefault="00CA725C" w:rsidP="000B1396">
            <w:pPr>
              <w:jc w:val="both"/>
              <w:rPr>
                <w:rFonts w:ascii="Calibri" w:hAnsi="Calibri" w:cs="Calibri"/>
              </w:rPr>
            </w:pPr>
            <w:r>
              <w:rPr>
                <w:rFonts w:ascii="Calibri" w:hAnsi="Calibri" w:cs="Calibri"/>
              </w:rPr>
              <w:t>In</w:t>
            </w:r>
            <w:r w:rsidR="00F57957">
              <w:rPr>
                <w:rFonts w:ascii="Calibri" w:hAnsi="Calibri" w:cs="Calibri"/>
              </w:rPr>
              <w:t xml:space="preserve"> </w:t>
            </w:r>
            <w:r>
              <w:rPr>
                <w:rFonts w:ascii="Calibri" w:hAnsi="Calibri" w:cs="Calibri"/>
              </w:rPr>
              <w:t>H1</w:t>
            </w:r>
            <w:r w:rsidR="00F57957">
              <w:rPr>
                <w:rFonts w:ascii="Calibri" w:hAnsi="Calibri" w:cs="Calibri"/>
              </w:rPr>
              <w:t xml:space="preserve"> </w:t>
            </w:r>
            <w:r w:rsidR="00D86B3A">
              <w:rPr>
                <w:rFonts w:ascii="Calibri" w:hAnsi="Calibri" w:cs="Calibri"/>
              </w:rPr>
              <w:t>2022,</w:t>
            </w:r>
            <w:r w:rsidR="00F57957">
              <w:rPr>
                <w:rFonts w:ascii="Calibri" w:hAnsi="Calibri" w:cs="Calibri"/>
              </w:rPr>
              <w:t xml:space="preserve"> the Authorities will examine sustainability disclosures in place in the UAE and consider </w:t>
            </w:r>
            <w:r w:rsidR="005C29D3">
              <w:rPr>
                <w:rFonts w:ascii="Calibri" w:hAnsi="Calibri" w:cs="Calibri"/>
              </w:rPr>
              <w:t xml:space="preserve">next steps with a view to promoting standards in line with </w:t>
            </w:r>
            <w:r w:rsidR="00AA2AEC">
              <w:rPr>
                <w:rFonts w:ascii="Calibri" w:hAnsi="Calibri" w:cs="Calibri"/>
              </w:rPr>
              <w:t xml:space="preserve">national and international </w:t>
            </w:r>
            <w:r w:rsidR="005C29D3">
              <w:rPr>
                <w:rFonts w:ascii="Calibri" w:hAnsi="Calibri" w:cs="Calibri"/>
              </w:rPr>
              <w:t>best practice</w:t>
            </w:r>
            <w:r w:rsidR="00AA2AEC">
              <w:rPr>
                <w:rFonts w:ascii="Calibri" w:hAnsi="Calibri" w:cs="Calibri"/>
              </w:rPr>
              <w:t>s</w:t>
            </w:r>
            <w:r w:rsidR="005C29D3">
              <w:rPr>
                <w:rFonts w:ascii="Calibri" w:hAnsi="Calibri" w:cs="Calibri"/>
              </w:rPr>
              <w:t xml:space="preserve">. </w:t>
            </w:r>
          </w:p>
        </w:tc>
      </w:tr>
    </w:tbl>
    <w:p w14:paraId="5FF27B2B" w14:textId="77777777" w:rsidR="00E76CA5" w:rsidRDefault="00E76CA5" w:rsidP="00710C11">
      <w:pPr>
        <w:jc w:val="both"/>
        <w:rPr>
          <w:rFonts w:cs="Times New Roman"/>
          <w:b/>
          <w:noProof/>
          <w:szCs w:val="24"/>
        </w:rPr>
      </w:pPr>
    </w:p>
    <w:p w14:paraId="746C1C53" w14:textId="77777777" w:rsidR="006B7EA9" w:rsidRPr="00545DE7" w:rsidRDefault="00545DE7" w:rsidP="00710C11">
      <w:pPr>
        <w:pStyle w:val="ListParagraph"/>
        <w:numPr>
          <w:ilvl w:val="0"/>
          <w:numId w:val="25"/>
        </w:numPr>
        <w:rPr>
          <w:rFonts w:cstheme="minorHAnsi"/>
          <w:b/>
        </w:rPr>
      </w:pPr>
      <w:r w:rsidRPr="00545DE7">
        <w:rPr>
          <w:rFonts w:cstheme="minorHAnsi"/>
          <w:b/>
        </w:rPr>
        <w:t>Governance</w:t>
      </w:r>
      <w:r w:rsidR="006B7EA9" w:rsidRPr="00545DE7">
        <w:rPr>
          <w:rFonts w:cstheme="minorHAnsi"/>
          <w:b/>
        </w:rPr>
        <w:t xml:space="preserve"> </w:t>
      </w:r>
    </w:p>
    <w:p w14:paraId="72879815" w14:textId="2D09D56C" w:rsidR="006B7EA9" w:rsidRDefault="005C29D3" w:rsidP="00710C11">
      <w:pPr>
        <w:jc w:val="both"/>
        <w:rPr>
          <w:rFonts w:ascii="Calibri" w:hAnsi="Calibri" w:cs="Calibri"/>
        </w:rPr>
      </w:pPr>
      <w:r>
        <w:rPr>
          <w:rFonts w:ascii="Calibri" w:hAnsi="Calibri" w:cs="Calibri"/>
        </w:rPr>
        <w:t>Strong c</w:t>
      </w:r>
      <w:r w:rsidR="006B7EA9" w:rsidRPr="004B34A6">
        <w:rPr>
          <w:rFonts w:ascii="Calibri" w:hAnsi="Calibri" w:cs="Calibri"/>
        </w:rPr>
        <w:t xml:space="preserve">orporate governance can significantly contribute to a more sustainable economy, allowing companies to take the strategic steps necessary to </w:t>
      </w:r>
      <w:r w:rsidR="005F277A">
        <w:rPr>
          <w:rFonts w:ascii="Calibri" w:hAnsi="Calibri" w:cs="Calibri"/>
        </w:rPr>
        <w:t xml:space="preserve">deploy </w:t>
      </w:r>
      <w:r w:rsidR="006B7EA9" w:rsidRPr="004B34A6">
        <w:rPr>
          <w:rFonts w:ascii="Calibri" w:hAnsi="Calibri" w:cs="Calibri"/>
        </w:rPr>
        <w:t xml:space="preserve">new </w:t>
      </w:r>
      <w:r>
        <w:rPr>
          <w:rFonts w:ascii="Calibri" w:hAnsi="Calibri" w:cs="Calibri"/>
        </w:rPr>
        <w:t xml:space="preserve">and more sustainable </w:t>
      </w:r>
      <w:r w:rsidR="006B7EA9" w:rsidRPr="004B34A6">
        <w:rPr>
          <w:rFonts w:ascii="Calibri" w:hAnsi="Calibri" w:cs="Calibri"/>
        </w:rPr>
        <w:t xml:space="preserve">technologies, to strengthen business models and to improve </w:t>
      </w:r>
      <w:r>
        <w:rPr>
          <w:rFonts w:ascii="Calibri" w:hAnsi="Calibri" w:cs="Calibri"/>
        </w:rPr>
        <w:t>both business and sustainability metrics</w:t>
      </w:r>
      <w:r w:rsidR="006B7EA9" w:rsidRPr="004B34A6">
        <w:rPr>
          <w:rFonts w:ascii="Calibri" w:hAnsi="Calibri" w:cs="Calibri"/>
        </w:rPr>
        <w:t xml:space="preserve">. Many companies have corporate governance strategies to this end, </w:t>
      </w:r>
      <w:r w:rsidR="0024442C">
        <w:rPr>
          <w:rFonts w:ascii="Calibri" w:hAnsi="Calibri" w:cs="Calibri"/>
        </w:rPr>
        <w:t xml:space="preserve">though </w:t>
      </w:r>
      <w:r w:rsidR="006B7EA9" w:rsidRPr="004B34A6">
        <w:rPr>
          <w:rFonts w:ascii="Calibri" w:hAnsi="Calibri" w:cs="Calibri"/>
        </w:rPr>
        <w:t xml:space="preserve">they </w:t>
      </w:r>
      <w:r w:rsidR="0024442C">
        <w:rPr>
          <w:rFonts w:ascii="Calibri" w:hAnsi="Calibri" w:cs="Calibri"/>
        </w:rPr>
        <w:t>may differ depending on the size, scale and nature of activities</w:t>
      </w:r>
      <w:r w:rsidR="006B7EA9" w:rsidRPr="004B34A6">
        <w:rPr>
          <w:rFonts w:ascii="Calibri" w:hAnsi="Calibri" w:cs="Calibri"/>
        </w:rPr>
        <w:t>.</w:t>
      </w:r>
    </w:p>
    <w:tbl>
      <w:tblPr>
        <w:tblStyle w:val="TableGrid"/>
        <w:tblW w:w="0" w:type="auto"/>
        <w:tblLook w:val="04A0" w:firstRow="1" w:lastRow="0" w:firstColumn="1" w:lastColumn="0" w:noHBand="0" w:noVBand="1"/>
      </w:tblPr>
      <w:tblGrid>
        <w:gridCol w:w="9350"/>
      </w:tblGrid>
      <w:tr w:rsidR="004B34A6" w14:paraId="488D3979" w14:textId="77777777" w:rsidTr="008C6CE9">
        <w:tc>
          <w:tcPr>
            <w:tcW w:w="9350" w:type="dxa"/>
          </w:tcPr>
          <w:p w14:paraId="56E24840" w14:textId="77777777" w:rsidR="004B34A6" w:rsidRPr="00E414DB" w:rsidRDefault="00E414DB" w:rsidP="00710C11">
            <w:pPr>
              <w:jc w:val="both"/>
              <w:rPr>
                <w:rFonts w:ascii="Calibri" w:hAnsi="Calibri" w:cs="Calibri"/>
                <w:b/>
                <w:i/>
              </w:rPr>
            </w:pPr>
            <w:r>
              <w:rPr>
                <w:rFonts w:ascii="Calibri" w:hAnsi="Calibri" w:cs="Calibri"/>
                <w:b/>
                <w:i/>
              </w:rPr>
              <w:t>Action 2</w:t>
            </w:r>
            <w:r w:rsidR="004B34A6" w:rsidRPr="00E414DB">
              <w:rPr>
                <w:rFonts w:ascii="Calibri" w:hAnsi="Calibri" w:cs="Calibri"/>
                <w:b/>
                <w:i/>
              </w:rPr>
              <w:t xml:space="preserve">: Fostering </w:t>
            </w:r>
            <w:r w:rsidR="00277199" w:rsidRPr="00E414DB">
              <w:rPr>
                <w:rFonts w:ascii="Calibri" w:hAnsi="Calibri" w:cs="Calibri"/>
                <w:b/>
                <w:i/>
              </w:rPr>
              <w:t>sustainabi</w:t>
            </w:r>
            <w:r w:rsidR="00277199">
              <w:rPr>
                <w:rFonts w:ascii="Calibri" w:hAnsi="Calibri" w:cs="Calibri"/>
                <w:b/>
                <w:i/>
              </w:rPr>
              <w:t>lity-focused corporate</w:t>
            </w:r>
            <w:r w:rsidR="004B34A6" w:rsidRPr="00E414DB">
              <w:rPr>
                <w:rFonts w:ascii="Calibri" w:hAnsi="Calibri" w:cs="Calibri"/>
                <w:b/>
                <w:i/>
              </w:rPr>
              <w:t xml:space="preserve"> governance </w:t>
            </w:r>
          </w:p>
          <w:p w14:paraId="41FAAB5F" w14:textId="77777777" w:rsidR="004B34A6" w:rsidRDefault="004B34A6" w:rsidP="00710C11">
            <w:pPr>
              <w:jc w:val="both"/>
              <w:rPr>
                <w:rFonts w:ascii="Calibri" w:hAnsi="Calibri" w:cs="Calibri"/>
              </w:rPr>
            </w:pPr>
          </w:p>
        </w:tc>
      </w:tr>
      <w:tr w:rsidR="004B34A6" w14:paraId="4E5DA286" w14:textId="77777777" w:rsidTr="008C6CE9">
        <w:tc>
          <w:tcPr>
            <w:tcW w:w="9350" w:type="dxa"/>
          </w:tcPr>
          <w:p w14:paraId="6CE2A840" w14:textId="2FB5DD3F" w:rsidR="004B34A6" w:rsidRDefault="00CA725C" w:rsidP="00C02B7D">
            <w:pPr>
              <w:jc w:val="both"/>
              <w:rPr>
                <w:rFonts w:ascii="Calibri" w:hAnsi="Calibri" w:cs="Calibri"/>
              </w:rPr>
            </w:pPr>
            <w:r>
              <w:rPr>
                <w:rFonts w:ascii="Calibri" w:hAnsi="Calibri" w:cs="Calibri"/>
              </w:rPr>
              <w:t xml:space="preserve">During </w:t>
            </w:r>
            <w:r w:rsidR="004B34A6">
              <w:rPr>
                <w:rFonts w:ascii="Calibri" w:hAnsi="Calibri" w:cs="Calibri"/>
              </w:rPr>
              <w:t xml:space="preserve">2022 </w:t>
            </w:r>
            <w:r w:rsidR="00E414DB">
              <w:rPr>
                <w:rFonts w:ascii="Calibri" w:hAnsi="Calibri" w:cs="Calibri"/>
              </w:rPr>
              <w:t>t</w:t>
            </w:r>
            <w:r w:rsidR="004B34A6">
              <w:rPr>
                <w:rFonts w:ascii="Calibri" w:hAnsi="Calibri" w:cs="Calibri"/>
              </w:rPr>
              <w:t xml:space="preserve">he Authorities will </w:t>
            </w:r>
            <w:r>
              <w:rPr>
                <w:rFonts w:ascii="Calibri" w:hAnsi="Calibri" w:cs="Calibri"/>
              </w:rPr>
              <w:t xml:space="preserve">review </w:t>
            </w:r>
            <w:r w:rsidR="00277199">
              <w:rPr>
                <w:rFonts w:ascii="Calibri" w:hAnsi="Calibri" w:cs="Calibri"/>
              </w:rPr>
              <w:t>corporate governance standards</w:t>
            </w:r>
            <w:r w:rsidR="001635DE">
              <w:rPr>
                <w:rFonts w:ascii="Calibri" w:hAnsi="Calibri" w:cs="Calibri"/>
              </w:rPr>
              <w:t xml:space="preserve"> and practices</w:t>
            </w:r>
            <w:r w:rsidR="00277199">
              <w:rPr>
                <w:rFonts w:ascii="Calibri" w:hAnsi="Calibri" w:cs="Calibri"/>
              </w:rPr>
              <w:t xml:space="preserve"> </w:t>
            </w:r>
            <w:r>
              <w:rPr>
                <w:rFonts w:ascii="Calibri" w:hAnsi="Calibri" w:cs="Calibri"/>
              </w:rPr>
              <w:t>with a view to</w:t>
            </w:r>
            <w:r w:rsidR="00277199">
              <w:rPr>
                <w:rFonts w:ascii="Calibri" w:hAnsi="Calibri" w:cs="Calibri"/>
              </w:rPr>
              <w:t xml:space="preserve"> help</w:t>
            </w:r>
            <w:r>
              <w:rPr>
                <w:rFonts w:ascii="Calibri" w:hAnsi="Calibri" w:cs="Calibri"/>
              </w:rPr>
              <w:t>ing</w:t>
            </w:r>
            <w:r w:rsidR="00277199">
              <w:rPr>
                <w:rFonts w:ascii="Calibri" w:hAnsi="Calibri" w:cs="Calibri"/>
              </w:rPr>
              <w:t xml:space="preserve"> embed sustainability across </w:t>
            </w:r>
            <w:r w:rsidR="0070578C">
              <w:rPr>
                <w:rFonts w:ascii="Calibri" w:hAnsi="Calibri" w:cs="Calibri"/>
              </w:rPr>
              <w:t xml:space="preserve">corporate </w:t>
            </w:r>
            <w:r w:rsidR="00277DE6">
              <w:rPr>
                <w:rFonts w:ascii="Calibri" w:hAnsi="Calibri" w:cs="Calibri"/>
              </w:rPr>
              <w:t>governance structure</w:t>
            </w:r>
            <w:r w:rsidR="0070578C">
              <w:rPr>
                <w:rFonts w:ascii="Calibri" w:hAnsi="Calibri" w:cs="Calibri"/>
              </w:rPr>
              <w:t>s in the UAE</w:t>
            </w:r>
            <w:r w:rsidR="00C02B7D">
              <w:rPr>
                <w:rFonts w:ascii="Calibri" w:hAnsi="Calibri" w:cs="Calibri"/>
              </w:rPr>
              <w:t xml:space="preserve"> through focussing on e.g. risk management, stress testing and data collection. </w:t>
            </w:r>
          </w:p>
        </w:tc>
      </w:tr>
    </w:tbl>
    <w:p w14:paraId="7930D182" w14:textId="77777777" w:rsidR="00710C11" w:rsidRPr="004B34A6" w:rsidRDefault="00710C11" w:rsidP="00710C11">
      <w:pPr>
        <w:jc w:val="both"/>
        <w:rPr>
          <w:rFonts w:ascii="Calibri" w:hAnsi="Calibri" w:cs="Calibri"/>
        </w:rPr>
      </w:pPr>
    </w:p>
    <w:p w14:paraId="60E25878" w14:textId="77777777" w:rsidR="006B7EA9" w:rsidRPr="00545DE7" w:rsidRDefault="00E74E0A" w:rsidP="00710C11">
      <w:pPr>
        <w:pStyle w:val="ListParagraph"/>
        <w:numPr>
          <w:ilvl w:val="0"/>
          <w:numId w:val="25"/>
        </w:numPr>
        <w:rPr>
          <w:rFonts w:cstheme="minorHAnsi"/>
          <w:b/>
        </w:rPr>
      </w:pPr>
      <w:r w:rsidRPr="00545DE7">
        <w:rPr>
          <w:rFonts w:cstheme="minorHAnsi"/>
          <w:b/>
        </w:rPr>
        <w:t xml:space="preserve">Taxonomy </w:t>
      </w:r>
    </w:p>
    <w:p w14:paraId="6668D154" w14:textId="216D611D" w:rsidR="00E414DB" w:rsidRDefault="00121B29" w:rsidP="00710C11">
      <w:pPr>
        <w:jc w:val="both"/>
        <w:rPr>
          <w:rFonts w:ascii="Calibri" w:hAnsi="Calibri" w:cs="Calibri"/>
        </w:rPr>
      </w:pPr>
      <w:r w:rsidRPr="004B34A6">
        <w:rPr>
          <w:rFonts w:ascii="Calibri" w:hAnsi="Calibri" w:cs="Calibri"/>
        </w:rPr>
        <w:t xml:space="preserve">A unified </w:t>
      </w:r>
      <w:r>
        <w:rPr>
          <w:rFonts w:ascii="Calibri" w:hAnsi="Calibri" w:cs="Calibri"/>
        </w:rPr>
        <w:t>UAE</w:t>
      </w:r>
      <w:r w:rsidRPr="00AA2AEC">
        <w:rPr>
          <w:rFonts w:cs="Times New Roman"/>
          <w:noProof/>
          <w:szCs w:val="24"/>
        </w:rPr>
        <w:t xml:space="preserve"> </w:t>
      </w:r>
      <w:r>
        <w:rPr>
          <w:rFonts w:ascii="Calibri" w:hAnsi="Calibri" w:cs="Calibri"/>
        </w:rPr>
        <w:t>taxonomy</w:t>
      </w:r>
      <w:r w:rsidRPr="004B34A6">
        <w:rPr>
          <w:rFonts w:ascii="Calibri" w:hAnsi="Calibri" w:cs="Calibri"/>
        </w:rPr>
        <w:t xml:space="preserve"> </w:t>
      </w:r>
      <w:r>
        <w:rPr>
          <w:rFonts w:ascii="Calibri" w:hAnsi="Calibri" w:cs="Calibri"/>
        </w:rPr>
        <w:t>providing c</w:t>
      </w:r>
      <w:r w:rsidR="00E74E0A" w:rsidRPr="004B34A6">
        <w:rPr>
          <w:rFonts w:ascii="Calibri" w:hAnsi="Calibri" w:cs="Calibri"/>
        </w:rPr>
        <w:t xml:space="preserve">lear guidance on activities </w:t>
      </w:r>
      <w:r w:rsidR="00F47421">
        <w:rPr>
          <w:rFonts w:ascii="Calibri" w:hAnsi="Calibri" w:cs="Calibri"/>
        </w:rPr>
        <w:t>that</w:t>
      </w:r>
      <w:r>
        <w:rPr>
          <w:rFonts w:ascii="Calibri" w:hAnsi="Calibri" w:cs="Calibri"/>
        </w:rPr>
        <w:t xml:space="preserve"> can</w:t>
      </w:r>
      <w:r w:rsidR="00F47421">
        <w:rPr>
          <w:rFonts w:ascii="Calibri" w:hAnsi="Calibri" w:cs="Calibri"/>
        </w:rPr>
        <w:t xml:space="preserve"> </w:t>
      </w:r>
      <w:r w:rsidR="00E74E0A" w:rsidRPr="004B34A6">
        <w:rPr>
          <w:rFonts w:ascii="Calibri" w:hAnsi="Calibri" w:cs="Calibri"/>
        </w:rPr>
        <w:t xml:space="preserve">qualify as </w:t>
      </w:r>
      <w:r>
        <w:rPr>
          <w:rFonts w:ascii="Calibri" w:hAnsi="Calibri" w:cs="Calibri"/>
        </w:rPr>
        <w:t xml:space="preserve">sustainable by </w:t>
      </w:r>
      <w:r w:rsidR="00E74E0A" w:rsidRPr="004B34A6">
        <w:rPr>
          <w:rFonts w:ascii="Calibri" w:hAnsi="Calibri" w:cs="Calibri"/>
        </w:rPr>
        <w:t>contribut</w:t>
      </w:r>
      <w:r>
        <w:rPr>
          <w:rFonts w:ascii="Calibri" w:hAnsi="Calibri" w:cs="Calibri"/>
        </w:rPr>
        <w:t>ing</w:t>
      </w:r>
      <w:r w:rsidR="00E74E0A" w:rsidRPr="004B34A6">
        <w:rPr>
          <w:rFonts w:ascii="Calibri" w:hAnsi="Calibri" w:cs="Calibri"/>
        </w:rPr>
        <w:t xml:space="preserve"> to</w:t>
      </w:r>
      <w:r>
        <w:rPr>
          <w:rFonts w:ascii="Calibri" w:hAnsi="Calibri" w:cs="Calibri"/>
        </w:rPr>
        <w:t>, for example,</w:t>
      </w:r>
      <w:r w:rsidR="00E74E0A" w:rsidRPr="004B34A6">
        <w:rPr>
          <w:rFonts w:ascii="Calibri" w:hAnsi="Calibri" w:cs="Calibri"/>
        </w:rPr>
        <w:t xml:space="preserve"> climate change mitigation</w:t>
      </w:r>
      <w:r w:rsidR="00F47421">
        <w:rPr>
          <w:rFonts w:ascii="Calibri" w:hAnsi="Calibri" w:cs="Calibri"/>
        </w:rPr>
        <w:t>,</w:t>
      </w:r>
      <w:r w:rsidR="00E74E0A" w:rsidRPr="004B34A6">
        <w:rPr>
          <w:rFonts w:ascii="Calibri" w:hAnsi="Calibri" w:cs="Calibri"/>
        </w:rPr>
        <w:t xml:space="preserve"> adaptation, </w:t>
      </w:r>
      <w:r w:rsidR="00F47421">
        <w:rPr>
          <w:rFonts w:ascii="Calibri" w:hAnsi="Calibri" w:cs="Calibri"/>
        </w:rPr>
        <w:t xml:space="preserve">and </w:t>
      </w:r>
      <w:r w:rsidR="00E74E0A" w:rsidRPr="004B34A6">
        <w:rPr>
          <w:rFonts w:ascii="Calibri" w:hAnsi="Calibri" w:cs="Calibri"/>
        </w:rPr>
        <w:t>environmental and social objectives will help inform investors</w:t>
      </w:r>
      <w:r>
        <w:rPr>
          <w:rFonts w:ascii="Calibri" w:hAnsi="Calibri" w:cs="Calibri"/>
        </w:rPr>
        <w:t xml:space="preserve"> and set a path for economic transition.</w:t>
      </w:r>
      <w:r w:rsidR="00E74E0A" w:rsidRPr="004B34A6">
        <w:rPr>
          <w:rFonts w:ascii="Calibri" w:hAnsi="Calibri" w:cs="Calibri"/>
        </w:rPr>
        <w:t>. This is an essential step in supporting the flow of capital into sustainable sectors in need of financing</w:t>
      </w:r>
      <w:r w:rsidR="004B34A6">
        <w:rPr>
          <w:rFonts w:ascii="Calibri" w:hAnsi="Calibri" w:cs="Calibri"/>
        </w:rPr>
        <w:t xml:space="preserve"> </w:t>
      </w:r>
      <w:r w:rsidR="00E96985">
        <w:rPr>
          <w:rFonts w:ascii="Calibri" w:hAnsi="Calibri" w:cs="Calibri"/>
        </w:rPr>
        <w:t xml:space="preserve">while </w:t>
      </w:r>
      <w:r w:rsidR="004B34A6">
        <w:rPr>
          <w:rFonts w:ascii="Calibri" w:hAnsi="Calibri" w:cs="Calibri"/>
        </w:rPr>
        <w:t xml:space="preserve">taking into account </w:t>
      </w:r>
      <w:r w:rsidR="00705A03">
        <w:rPr>
          <w:rFonts w:ascii="Calibri" w:hAnsi="Calibri" w:cs="Calibri"/>
        </w:rPr>
        <w:t xml:space="preserve">both </w:t>
      </w:r>
      <w:r w:rsidR="004B34A6">
        <w:rPr>
          <w:rFonts w:ascii="Calibri" w:hAnsi="Calibri" w:cs="Calibri"/>
        </w:rPr>
        <w:t xml:space="preserve">international standards and </w:t>
      </w:r>
      <w:r w:rsidR="00705A03">
        <w:rPr>
          <w:rFonts w:ascii="Calibri" w:hAnsi="Calibri" w:cs="Calibri"/>
        </w:rPr>
        <w:t xml:space="preserve">the specific circumstances of the </w:t>
      </w:r>
      <w:r w:rsidR="004B34A6">
        <w:rPr>
          <w:rFonts w:ascii="Calibri" w:hAnsi="Calibri" w:cs="Calibri"/>
        </w:rPr>
        <w:t xml:space="preserve">UAE. </w:t>
      </w:r>
    </w:p>
    <w:tbl>
      <w:tblPr>
        <w:tblStyle w:val="TableGrid"/>
        <w:tblW w:w="0" w:type="auto"/>
        <w:tblLook w:val="04A0" w:firstRow="1" w:lastRow="0" w:firstColumn="1" w:lastColumn="0" w:noHBand="0" w:noVBand="1"/>
      </w:tblPr>
      <w:tblGrid>
        <w:gridCol w:w="9350"/>
      </w:tblGrid>
      <w:tr w:rsidR="004B34A6" w14:paraId="68B5414F" w14:textId="77777777" w:rsidTr="008C6CE9">
        <w:tc>
          <w:tcPr>
            <w:tcW w:w="9350" w:type="dxa"/>
          </w:tcPr>
          <w:p w14:paraId="5E336645" w14:textId="7C33476F" w:rsidR="004B34A6" w:rsidRPr="00E414DB" w:rsidRDefault="00E414DB" w:rsidP="00710C11">
            <w:pPr>
              <w:jc w:val="both"/>
              <w:rPr>
                <w:rFonts w:ascii="Calibri" w:hAnsi="Calibri" w:cs="Calibri"/>
                <w:b/>
                <w:i/>
              </w:rPr>
            </w:pPr>
            <w:r w:rsidRPr="00E414DB">
              <w:rPr>
                <w:rFonts w:ascii="Calibri" w:hAnsi="Calibri" w:cs="Calibri"/>
                <w:b/>
                <w:i/>
              </w:rPr>
              <w:t>Action 3</w:t>
            </w:r>
            <w:r w:rsidR="004B34A6" w:rsidRPr="00E414DB">
              <w:rPr>
                <w:rFonts w:ascii="Calibri" w:hAnsi="Calibri" w:cs="Calibri"/>
                <w:b/>
                <w:i/>
              </w:rPr>
              <w:t xml:space="preserve">: </w:t>
            </w:r>
            <w:r w:rsidR="00CA725C">
              <w:rPr>
                <w:rFonts w:ascii="Calibri" w:hAnsi="Calibri" w:cs="Calibri"/>
                <w:b/>
                <w:i/>
              </w:rPr>
              <w:t>UAE  taxonomy</w:t>
            </w:r>
            <w:r w:rsidR="004B34A6" w:rsidRPr="00E414DB">
              <w:rPr>
                <w:rFonts w:ascii="Calibri" w:hAnsi="Calibri" w:cs="Calibri"/>
                <w:b/>
                <w:i/>
              </w:rPr>
              <w:t xml:space="preserve"> </w:t>
            </w:r>
            <w:r w:rsidR="00121B29">
              <w:rPr>
                <w:rFonts w:ascii="Calibri" w:hAnsi="Calibri" w:cs="Calibri"/>
                <w:b/>
                <w:i/>
              </w:rPr>
              <w:t>of sustainable activities</w:t>
            </w:r>
          </w:p>
          <w:p w14:paraId="74E74E56" w14:textId="77777777" w:rsidR="004B34A6" w:rsidRDefault="004B34A6" w:rsidP="00710C11">
            <w:pPr>
              <w:jc w:val="both"/>
              <w:rPr>
                <w:rFonts w:ascii="Calibri" w:hAnsi="Calibri" w:cs="Calibri"/>
              </w:rPr>
            </w:pPr>
          </w:p>
        </w:tc>
      </w:tr>
      <w:tr w:rsidR="004B34A6" w14:paraId="28773FE7" w14:textId="77777777" w:rsidTr="008C6CE9">
        <w:tc>
          <w:tcPr>
            <w:tcW w:w="9350" w:type="dxa"/>
          </w:tcPr>
          <w:p w14:paraId="0C976E83" w14:textId="7587DE49" w:rsidR="004B34A6" w:rsidRDefault="004B34A6" w:rsidP="00762872">
            <w:pPr>
              <w:jc w:val="both"/>
              <w:rPr>
                <w:rFonts w:ascii="Calibri" w:hAnsi="Calibri" w:cs="Calibri"/>
              </w:rPr>
            </w:pPr>
            <w:r>
              <w:rPr>
                <w:rFonts w:ascii="Calibri" w:hAnsi="Calibri" w:cs="Calibri"/>
              </w:rPr>
              <w:t>Subject to international developments</w:t>
            </w:r>
            <w:r w:rsidR="00277199">
              <w:rPr>
                <w:rFonts w:ascii="Calibri" w:hAnsi="Calibri" w:cs="Calibri"/>
              </w:rPr>
              <w:t>,</w:t>
            </w:r>
            <w:r>
              <w:rPr>
                <w:rFonts w:ascii="Calibri" w:hAnsi="Calibri" w:cs="Calibri"/>
              </w:rPr>
              <w:t xml:space="preserve"> </w:t>
            </w:r>
            <w:r w:rsidR="00E414DB">
              <w:rPr>
                <w:rFonts w:ascii="Calibri" w:hAnsi="Calibri" w:cs="Calibri"/>
              </w:rPr>
              <w:t>t</w:t>
            </w:r>
            <w:r>
              <w:rPr>
                <w:rFonts w:ascii="Calibri" w:hAnsi="Calibri" w:cs="Calibri"/>
              </w:rPr>
              <w:t xml:space="preserve">he Authorities will </w:t>
            </w:r>
            <w:r w:rsidR="0024442C">
              <w:rPr>
                <w:rFonts w:ascii="Calibri" w:hAnsi="Calibri" w:cs="Calibri"/>
              </w:rPr>
              <w:t>commence</w:t>
            </w:r>
            <w:r w:rsidR="00277199">
              <w:rPr>
                <w:rFonts w:ascii="Calibri" w:hAnsi="Calibri" w:cs="Calibri"/>
              </w:rPr>
              <w:t xml:space="preserve"> </w:t>
            </w:r>
            <w:r w:rsidR="00654C55">
              <w:rPr>
                <w:rFonts w:ascii="Calibri" w:hAnsi="Calibri" w:cs="Calibri"/>
              </w:rPr>
              <w:t>development of</w:t>
            </w:r>
            <w:r w:rsidR="00A22618">
              <w:rPr>
                <w:rFonts w:ascii="Calibri" w:hAnsi="Calibri" w:cs="Calibri"/>
              </w:rPr>
              <w:t xml:space="preserve"> </w:t>
            </w:r>
            <w:r>
              <w:rPr>
                <w:rFonts w:ascii="Calibri" w:hAnsi="Calibri" w:cs="Calibri"/>
              </w:rPr>
              <w:t xml:space="preserve">a UAE taxonomy </w:t>
            </w:r>
            <w:r w:rsidR="00762872">
              <w:rPr>
                <w:rFonts w:ascii="Calibri" w:hAnsi="Calibri" w:cs="Calibri"/>
              </w:rPr>
              <w:t>of</w:t>
            </w:r>
            <w:r>
              <w:rPr>
                <w:rFonts w:cs="Times New Roman"/>
                <w:noProof/>
                <w:szCs w:val="24"/>
              </w:rPr>
              <w:t xml:space="preserve"> sustainable activities</w:t>
            </w:r>
            <w:r w:rsidR="00277199">
              <w:rPr>
                <w:rFonts w:ascii="Calibri" w:hAnsi="Calibri" w:cs="Calibri"/>
              </w:rPr>
              <w:t>.</w:t>
            </w:r>
          </w:p>
        </w:tc>
      </w:tr>
    </w:tbl>
    <w:p w14:paraId="01DB501F" w14:textId="77777777" w:rsidR="007F26ED" w:rsidRDefault="007F26ED" w:rsidP="00710C11">
      <w:pPr>
        <w:jc w:val="both"/>
        <w:rPr>
          <w:rFonts w:ascii="Calibri" w:hAnsi="Calibri" w:cs="Calibri"/>
          <w:b/>
        </w:rPr>
      </w:pPr>
    </w:p>
    <w:p w14:paraId="345F80F4" w14:textId="77777777" w:rsidR="00D86B3A" w:rsidRDefault="00D86B3A" w:rsidP="00710C11">
      <w:pPr>
        <w:jc w:val="both"/>
        <w:rPr>
          <w:rFonts w:ascii="Calibri" w:hAnsi="Calibri" w:cs="Calibri"/>
          <w:b/>
        </w:rPr>
      </w:pPr>
    </w:p>
    <w:p w14:paraId="559D6883" w14:textId="3A99ABC5" w:rsidR="00E414DB" w:rsidRDefault="00E414DB" w:rsidP="00710C11">
      <w:pPr>
        <w:jc w:val="both"/>
        <w:rPr>
          <w:rFonts w:ascii="Calibri" w:hAnsi="Calibri" w:cs="Calibri"/>
          <w:b/>
        </w:rPr>
      </w:pPr>
      <w:r>
        <w:rPr>
          <w:rFonts w:ascii="Calibri" w:hAnsi="Calibri" w:cs="Calibri"/>
          <w:b/>
        </w:rPr>
        <w:t xml:space="preserve">IMPLEMENTATION </w:t>
      </w:r>
    </w:p>
    <w:p w14:paraId="001FE7D3" w14:textId="6D4D511F" w:rsidR="00762872" w:rsidRDefault="00762872" w:rsidP="00762872">
      <w:pPr>
        <w:jc w:val="both"/>
        <w:rPr>
          <w:rFonts w:ascii="Calibri" w:hAnsi="Calibri" w:cs="Calibri"/>
        </w:rPr>
      </w:pPr>
      <w:r w:rsidRPr="00AF191C">
        <w:rPr>
          <w:rFonts w:ascii="Calibri" w:hAnsi="Calibri" w:cs="Calibri"/>
        </w:rPr>
        <w:t>By raising awareness and f</w:t>
      </w:r>
      <w:r>
        <w:rPr>
          <w:rFonts w:ascii="Calibri" w:hAnsi="Calibri" w:cs="Calibri"/>
        </w:rPr>
        <w:t>acilitating the work ahead, the Roadmap</w:t>
      </w:r>
      <w:r w:rsidRPr="00AF191C">
        <w:rPr>
          <w:rFonts w:ascii="Calibri" w:hAnsi="Calibri" w:cs="Calibri"/>
        </w:rPr>
        <w:t xml:space="preserve"> </w:t>
      </w:r>
      <w:r>
        <w:rPr>
          <w:rFonts w:ascii="Calibri" w:hAnsi="Calibri" w:cs="Calibri"/>
        </w:rPr>
        <w:t>is designed to</w:t>
      </w:r>
      <w:r w:rsidRPr="00AF191C">
        <w:rPr>
          <w:rFonts w:ascii="Calibri" w:hAnsi="Calibri" w:cs="Calibri"/>
        </w:rPr>
        <w:t xml:space="preserve"> ensure that sustainability remains </w:t>
      </w:r>
      <w:r>
        <w:rPr>
          <w:rFonts w:ascii="Calibri" w:hAnsi="Calibri" w:cs="Calibri"/>
        </w:rPr>
        <w:t xml:space="preserve">embedded in the efforts to furthering sustainable development in the UAE </w:t>
      </w:r>
      <w:r w:rsidRPr="00D86B3A">
        <w:rPr>
          <w:rFonts w:ascii="Calibri" w:hAnsi="Calibri" w:cs="Calibri"/>
        </w:rPr>
        <w:t>on the path towards its net-zero goal</w:t>
      </w:r>
      <w:r w:rsidRPr="00AF191C">
        <w:rPr>
          <w:rFonts w:ascii="Calibri" w:hAnsi="Calibri" w:cs="Calibri"/>
        </w:rPr>
        <w:t>.</w:t>
      </w:r>
    </w:p>
    <w:p w14:paraId="12BF4CBA" w14:textId="35227050" w:rsidR="00E74E0A" w:rsidRPr="00AF191C" w:rsidRDefault="00E74E0A" w:rsidP="00E71FF0">
      <w:pPr>
        <w:jc w:val="both"/>
        <w:rPr>
          <w:rFonts w:ascii="Calibri" w:hAnsi="Calibri" w:cs="Calibri"/>
        </w:rPr>
      </w:pPr>
      <w:r w:rsidRPr="00AF191C">
        <w:rPr>
          <w:rFonts w:ascii="Calibri" w:hAnsi="Calibri" w:cs="Calibri"/>
        </w:rPr>
        <w:t xml:space="preserve">The implementation </w:t>
      </w:r>
      <w:r w:rsidR="00E414DB">
        <w:rPr>
          <w:rFonts w:ascii="Calibri" w:hAnsi="Calibri" w:cs="Calibri"/>
        </w:rPr>
        <w:t>of th</w:t>
      </w:r>
      <w:r w:rsidR="00705A03">
        <w:rPr>
          <w:rFonts w:ascii="Calibri" w:hAnsi="Calibri" w:cs="Calibri"/>
        </w:rPr>
        <w:t xml:space="preserve">e </w:t>
      </w:r>
      <w:r w:rsidR="003E25F1">
        <w:rPr>
          <w:rFonts w:ascii="Calibri" w:hAnsi="Calibri" w:cs="Calibri"/>
        </w:rPr>
        <w:t xml:space="preserve">Deliverables </w:t>
      </w:r>
      <w:r w:rsidR="00705A03">
        <w:rPr>
          <w:rFonts w:ascii="Calibri" w:hAnsi="Calibri" w:cs="Calibri"/>
        </w:rPr>
        <w:t xml:space="preserve">from </w:t>
      </w:r>
      <w:r w:rsidR="00146827">
        <w:rPr>
          <w:rFonts w:ascii="Calibri" w:hAnsi="Calibri" w:cs="Calibri"/>
        </w:rPr>
        <w:t xml:space="preserve">the </w:t>
      </w:r>
      <w:r w:rsidR="003B2E8F">
        <w:rPr>
          <w:rFonts w:ascii="Calibri" w:hAnsi="Calibri" w:cs="Calibri"/>
        </w:rPr>
        <w:t>R</w:t>
      </w:r>
      <w:r w:rsidR="00E414DB">
        <w:rPr>
          <w:rFonts w:ascii="Calibri" w:hAnsi="Calibri" w:cs="Calibri"/>
        </w:rPr>
        <w:t>oadmap</w:t>
      </w:r>
      <w:r w:rsidR="004B663B">
        <w:rPr>
          <w:rFonts w:ascii="Calibri" w:hAnsi="Calibri" w:cs="Calibri"/>
        </w:rPr>
        <w:t xml:space="preserve"> </w:t>
      </w:r>
      <w:r w:rsidR="00E71FF0">
        <w:rPr>
          <w:rFonts w:ascii="Calibri" w:hAnsi="Calibri" w:cs="Calibri"/>
        </w:rPr>
        <w:t>may</w:t>
      </w:r>
      <w:r w:rsidR="00E711C4">
        <w:rPr>
          <w:rFonts w:ascii="Calibri" w:hAnsi="Calibri" w:cs="Calibri"/>
        </w:rPr>
        <w:t xml:space="preserve"> </w:t>
      </w:r>
      <w:r w:rsidRPr="00AF191C">
        <w:rPr>
          <w:rFonts w:ascii="Calibri" w:hAnsi="Calibri" w:cs="Calibri"/>
        </w:rPr>
        <w:t xml:space="preserve">combine </w:t>
      </w:r>
      <w:r w:rsidR="00E711C4">
        <w:rPr>
          <w:rFonts w:ascii="Calibri" w:hAnsi="Calibri" w:cs="Calibri"/>
        </w:rPr>
        <w:t>both</w:t>
      </w:r>
      <w:r w:rsidR="00E711C4" w:rsidRPr="00AF191C">
        <w:rPr>
          <w:rFonts w:ascii="Calibri" w:hAnsi="Calibri" w:cs="Calibri"/>
        </w:rPr>
        <w:t xml:space="preserve"> </w:t>
      </w:r>
      <w:r w:rsidRPr="00AF191C">
        <w:rPr>
          <w:rFonts w:ascii="Calibri" w:hAnsi="Calibri" w:cs="Calibri"/>
        </w:rPr>
        <w:t xml:space="preserve">legislative and </w:t>
      </w:r>
      <w:r w:rsidR="004C7568">
        <w:rPr>
          <w:rFonts w:ascii="Calibri" w:hAnsi="Calibri" w:cs="Calibri"/>
        </w:rPr>
        <w:t>non-</w:t>
      </w:r>
      <w:r w:rsidRPr="00AF191C">
        <w:rPr>
          <w:rFonts w:ascii="Calibri" w:hAnsi="Calibri" w:cs="Calibri"/>
        </w:rPr>
        <w:t>legislative actions with</w:t>
      </w:r>
      <w:r w:rsidR="00E414DB">
        <w:rPr>
          <w:rFonts w:ascii="Calibri" w:hAnsi="Calibri" w:cs="Calibri"/>
        </w:rPr>
        <w:t xml:space="preserve">in </w:t>
      </w:r>
      <w:r w:rsidR="003E25F1">
        <w:rPr>
          <w:rFonts w:ascii="Calibri" w:hAnsi="Calibri" w:cs="Calibri"/>
        </w:rPr>
        <w:t xml:space="preserve">the </w:t>
      </w:r>
      <w:r w:rsidR="00277DE6">
        <w:rPr>
          <w:rFonts w:ascii="Calibri" w:hAnsi="Calibri" w:cs="Calibri"/>
        </w:rPr>
        <w:t>Authorit</w:t>
      </w:r>
      <w:r w:rsidR="000B4D38">
        <w:rPr>
          <w:rFonts w:ascii="Calibri" w:hAnsi="Calibri" w:cs="Calibri"/>
        </w:rPr>
        <w:t xml:space="preserve">ies’ </w:t>
      </w:r>
      <w:r w:rsidR="003E25F1">
        <w:rPr>
          <w:rFonts w:ascii="Calibri" w:hAnsi="Calibri" w:cs="Calibri"/>
        </w:rPr>
        <w:t>respective</w:t>
      </w:r>
      <w:r w:rsidR="000B4D38">
        <w:rPr>
          <w:rFonts w:ascii="Calibri" w:hAnsi="Calibri" w:cs="Calibri"/>
        </w:rPr>
        <w:t xml:space="preserve"> </w:t>
      </w:r>
      <w:r w:rsidR="00E414DB">
        <w:rPr>
          <w:rFonts w:ascii="Calibri" w:hAnsi="Calibri" w:cs="Calibri"/>
        </w:rPr>
        <w:t>jurisdiction</w:t>
      </w:r>
      <w:r w:rsidR="00E40456">
        <w:rPr>
          <w:rFonts w:ascii="Calibri" w:hAnsi="Calibri" w:cs="Calibri"/>
        </w:rPr>
        <w:t>s</w:t>
      </w:r>
      <w:r w:rsidR="00E414DB">
        <w:rPr>
          <w:rFonts w:ascii="Calibri" w:hAnsi="Calibri" w:cs="Calibri"/>
        </w:rPr>
        <w:t xml:space="preserve"> </w:t>
      </w:r>
      <w:r w:rsidRPr="00AF191C">
        <w:rPr>
          <w:rFonts w:ascii="Calibri" w:hAnsi="Calibri" w:cs="Calibri"/>
        </w:rPr>
        <w:t xml:space="preserve">and careful </w:t>
      </w:r>
      <w:r w:rsidR="004B34A6" w:rsidRPr="00AF191C">
        <w:rPr>
          <w:rFonts w:ascii="Calibri" w:hAnsi="Calibri" w:cs="Calibri"/>
        </w:rPr>
        <w:t xml:space="preserve">coordination among </w:t>
      </w:r>
      <w:r w:rsidR="003E25F1">
        <w:rPr>
          <w:rFonts w:ascii="Calibri" w:hAnsi="Calibri" w:cs="Calibri"/>
        </w:rPr>
        <w:t>the A</w:t>
      </w:r>
      <w:r w:rsidR="004B34A6" w:rsidRPr="00AF191C">
        <w:rPr>
          <w:rFonts w:ascii="Calibri" w:hAnsi="Calibri" w:cs="Calibri"/>
        </w:rPr>
        <w:t xml:space="preserve">uthorities to promote convergence on the implementation of sustainability </w:t>
      </w:r>
      <w:r w:rsidR="004C7568">
        <w:rPr>
          <w:rFonts w:ascii="Calibri" w:hAnsi="Calibri" w:cs="Calibri"/>
        </w:rPr>
        <w:t>practices</w:t>
      </w:r>
      <w:r w:rsidR="003E25F1">
        <w:rPr>
          <w:rFonts w:ascii="Calibri" w:hAnsi="Calibri" w:cs="Calibri"/>
        </w:rPr>
        <w:t>, where appropriate</w:t>
      </w:r>
      <w:r w:rsidRPr="00AF191C">
        <w:rPr>
          <w:rFonts w:ascii="Calibri" w:hAnsi="Calibri" w:cs="Calibri"/>
        </w:rPr>
        <w:t xml:space="preserve">. The </w:t>
      </w:r>
      <w:r w:rsidR="003E25F1">
        <w:rPr>
          <w:rFonts w:ascii="Calibri" w:hAnsi="Calibri" w:cs="Calibri"/>
        </w:rPr>
        <w:t>progress</w:t>
      </w:r>
      <w:r w:rsidR="003E25F1" w:rsidRPr="00AF191C">
        <w:rPr>
          <w:rFonts w:ascii="Calibri" w:hAnsi="Calibri" w:cs="Calibri"/>
        </w:rPr>
        <w:t xml:space="preserve"> </w:t>
      </w:r>
      <w:r w:rsidRPr="00AF191C">
        <w:rPr>
          <w:rFonts w:ascii="Calibri" w:hAnsi="Calibri" w:cs="Calibri"/>
        </w:rPr>
        <w:t xml:space="preserve">of </w:t>
      </w:r>
      <w:r w:rsidR="003E25F1">
        <w:rPr>
          <w:rFonts w:ascii="Calibri" w:hAnsi="Calibri" w:cs="Calibri"/>
        </w:rPr>
        <w:t>the</w:t>
      </w:r>
      <w:r w:rsidR="003E25F1" w:rsidRPr="00AF191C">
        <w:rPr>
          <w:rFonts w:ascii="Calibri" w:hAnsi="Calibri" w:cs="Calibri"/>
        </w:rPr>
        <w:t xml:space="preserve"> </w:t>
      </w:r>
      <w:r w:rsidR="004B663B">
        <w:rPr>
          <w:rFonts w:ascii="Calibri" w:hAnsi="Calibri" w:cs="Calibri"/>
        </w:rPr>
        <w:t>R</w:t>
      </w:r>
      <w:r w:rsidR="004B34A6" w:rsidRPr="00AF191C">
        <w:rPr>
          <w:rFonts w:ascii="Calibri" w:hAnsi="Calibri" w:cs="Calibri"/>
        </w:rPr>
        <w:t>oadmap</w:t>
      </w:r>
      <w:r w:rsidRPr="00AF191C">
        <w:rPr>
          <w:rFonts w:ascii="Calibri" w:hAnsi="Calibri" w:cs="Calibri"/>
        </w:rPr>
        <w:t xml:space="preserve">, as well as monitoring the achievement of its three main </w:t>
      </w:r>
      <w:r w:rsidR="003E25F1">
        <w:rPr>
          <w:rFonts w:ascii="Calibri" w:hAnsi="Calibri" w:cs="Calibri"/>
        </w:rPr>
        <w:t>Deliverables</w:t>
      </w:r>
      <w:r w:rsidRPr="00AF191C">
        <w:rPr>
          <w:rFonts w:ascii="Calibri" w:hAnsi="Calibri" w:cs="Calibri"/>
        </w:rPr>
        <w:t xml:space="preserve">, will </w:t>
      </w:r>
      <w:r w:rsidR="004B663B">
        <w:rPr>
          <w:rFonts w:ascii="Calibri" w:hAnsi="Calibri" w:cs="Calibri"/>
        </w:rPr>
        <w:t>require</w:t>
      </w:r>
      <w:r w:rsidR="004B663B" w:rsidRPr="00AF191C">
        <w:rPr>
          <w:rFonts w:ascii="Calibri" w:hAnsi="Calibri" w:cs="Calibri"/>
        </w:rPr>
        <w:t xml:space="preserve"> </w:t>
      </w:r>
      <w:r w:rsidRPr="00AF191C">
        <w:rPr>
          <w:rFonts w:ascii="Calibri" w:hAnsi="Calibri" w:cs="Calibri"/>
        </w:rPr>
        <w:t xml:space="preserve">appropriate technical support, </w:t>
      </w:r>
      <w:r w:rsidR="004B663B">
        <w:rPr>
          <w:rFonts w:ascii="Calibri" w:hAnsi="Calibri" w:cs="Calibri"/>
        </w:rPr>
        <w:t xml:space="preserve">in light of the distinct skills sets and expertise required to incorporate sustainability into regulatory frameworks. </w:t>
      </w:r>
    </w:p>
    <w:p w14:paraId="4FEF2B99" w14:textId="77777777" w:rsidR="00DE46D3" w:rsidRDefault="00DE46D3" w:rsidP="00710C11">
      <w:pPr>
        <w:jc w:val="both"/>
      </w:pPr>
    </w:p>
    <w:p w14:paraId="256876FB" w14:textId="77777777" w:rsidR="00277DE6" w:rsidRDefault="00277DE6" w:rsidP="00710C11">
      <w:pPr>
        <w:jc w:val="both"/>
      </w:pPr>
    </w:p>
    <w:p w14:paraId="33A95254" w14:textId="77777777" w:rsidR="00277DE6" w:rsidRDefault="00277DE6" w:rsidP="00710C11">
      <w:pPr>
        <w:jc w:val="both"/>
      </w:pPr>
    </w:p>
    <w:p w14:paraId="01C81D83" w14:textId="77777777" w:rsidR="00277DE6" w:rsidRDefault="00277DE6" w:rsidP="00710C11">
      <w:pPr>
        <w:jc w:val="both"/>
      </w:pPr>
    </w:p>
    <w:p w14:paraId="7520D885" w14:textId="77777777" w:rsidR="00277DE6" w:rsidRDefault="00277DE6" w:rsidP="00710C11">
      <w:pPr>
        <w:jc w:val="both"/>
      </w:pPr>
    </w:p>
    <w:p w14:paraId="081F4D6C" w14:textId="738ED588" w:rsidR="00277DE6" w:rsidRDefault="00277DE6" w:rsidP="00710C11">
      <w:pPr>
        <w:jc w:val="both"/>
      </w:pPr>
    </w:p>
    <w:p w14:paraId="49A2C8E7" w14:textId="3053F895" w:rsidR="00D86B3A" w:rsidRDefault="00D86B3A" w:rsidP="00710C11">
      <w:pPr>
        <w:jc w:val="both"/>
      </w:pPr>
    </w:p>
    <w:p w14:paraId="207431D1" w14:textId="196E3317" w:rsidR="00D86B3A" w:rsidRDefault="00D86B3A" w:rsidP="00710C11">
      <w:pPr>
        <w:jc w:val="both"/>
      </w:pPr>
    </w:p>
    <w:p w14:paraId="33AAB646" w14:textId="5F2E9452" w:rsidR="00D86B3A" w:rsidRDefault="00D86B3A" w:rsidP="00710C11">
      <w:pPr>
        <w:jc w:val="both"/>
      </w:pPr>
    </w:p>
    <w:p w14:paraId="18FCFFC2" w14:textId="7C3A108D" w:rsidR="00D86B3A" w:rsidRDefault="00D86B3A" w:rsidP="00710C11">
      <w:pPr>
        <w:jc w:val="both"/>
      </w:pPr>
    </w:p>
    <w:p w14:paraId="5A99EAAE" w14:textId="497E2D53" w:rsidR="00D86B3A" w:rsidRDefault="00D86B3A" w:rsidP="00710C11">
      <w:pPr>
        <w:jc w:val="both"/>
      </w:pPr>
    </w:p>
    <w:p w14:paraId="089DB474" w14:textId="6C54D578" w:rsidR="00D86B3A" w:rsidRDefault="00D86B3A" w:rsidP="00710C11">
      <w:pPr>
        <w:jc w:val="both"/>
      </w:pPr>
    </w:p>
    <w:p w14:paraId="0D8E4187" w14:textId="33A2DB3B" w:rsidR="00D86B3A" w:rsidRDefault="00D86B3A" w:rsidP="00710C11">
      <w:pPr>
        <w:jc w:val="both"/>
      </w:pPr>
    </w:p>
    <w:p w14:paraId="09C132CA" w14:textId="0D3B58A7" w:rsidR="00D86B3A" w:rsidRDefault="00D86B3A" w:rsidP="00710C11">
      <w:pPr>
        <w:jc w:val="both"/>
      </w:pPr>
    </w:p>
    <w:p w14:paraId="38C4C759" w14:textId="54415348" w:rsidR="00D86B3A" w:rsidRDefault="00D86B3A" w:rsidP="00710C11">
      <w:pPr>
        <w:jc w:val="both"/>
      </w:pPr>
    </w:p>
    <w:p w14:paraId="6924DFD3" w14:textId="0BAD0F95" w:rsidR="00D86B3A" w:rsidRDefault="00D86B3A" w:rsidP="00710C11">
      <w:pPr>
        <w:jc w:val="both"/>
      </w:pPr>
    </w:p>
    <w:p w14:paraId="093B89BE" w14:textId="29E2ABAB" w:rsidR="00D86B3A" w:rsidRDefault="00D86B3A" w:rsidP="00710C11">
      <w:pPr>
        <w:jc w:val="both"/>
      </w:pPr>
    </w:p>
    <w:p w14:paraId="77E089D2" w14:textId="52527CEA" w:rsidR="00D86B3A" w:rsidRDefault="00D86B3A" w:rsidP="00710C11">
      <w:pPr>
        <w:jc w:val="both"/>
      </w:pPr>
    </w:p>
    <w:p w14:paraId="7BAABA36" w14:textId="6E6C06AA" w:rsidR="00D86B3A" w:rsidRDefault="00D86B3A" w:rsidP="00710C11">
      <w:pPr>
        <w:jc w:val="both"/>
      </w:pPr>
    </w:p>
    <w:p w14:paraId="33E9F064" w14:textId="77777777" w:rsidR="00277DE6" w:rsidRDefault="00277DE6" w:rsidP="00710C11">
      <w:pPr>
        <w:jc w:val="both"/>
      </w:pPr>
    </w:p>
    <w:p w14:paraId="30B80319" w14:textId="77777777" w:rsidR="00277DE6" w:rsidRDefault="00277DE6" w:rsidP="00710C11">
      <w:pPr>
        <w:jc w:val="both"/>
      </w:pPr>
    </w:p>
    <w:p w14:paraId="282CB89D" w14:textId="015304CE" w:rsidR="00D86B3A" w:rsidRDefault="00277DE6" w:rsidP="00710C11">
      <w:pPr>
        <w:jc w:val="both"/>
      </w:pPr>
      <w:r w:rsidRPr="00D86B3A">
        <w:rPr>
          <w:rFonts w:ascii="Calibri" w:hAnsi="Calibri" w:cs="Calibri"/>
          <w:b/>
          <w:bCs/>
          <w:color w:val="000000"/>
          <w:lang w:val="en-US"/>
        </w:rPr>
        <w:t>Annex</w:t>
      </w:r>
      <w:r w:rsidR="0081357C" w:rsidRPr="00D86B3A">
        <w:rPr>
          <w:rFonts w:ascii="Calibri" w:hAnsi="Calibri" w:cs="Calibri"/>
          <w:b/>
          <w:bCs/>
          <w:color w:val="000000"/>
          <w:lang w:val="en-US"/>
        </w:rPr>
        <w:t xml:space="preserve"> </w:t>
      </w:r>
      <w:r w:rsidR="00D86B3A">
        <w:rPr>
          <w:rFonts w:ascii="Calibri" w:hAnsi="Calibri" w:cs="Calibri"/>
          <w:b/>
          <w:bCs/>
          <w:color w:val="000000"/>
          <w:lang w:val="en-US"/>
        </w:rPr>
        <w:t>1</w:t>
      </w:r>
    </w:p>
    <w:p w14:paraId="1E5B9699" w14:textId="1516D66C" w:rsidR="00277DE6" w:rsidRDefault="0037362C" w:rsidP="00710C11">
      <w:pPr>
        <w:jc w:val="both"/>
      </w:pPr>
      <w:r w:rsidRPr="00D86B3A">
        <w:rPr>
          <w:rFonts w:ascii="Calibri" w:hAnsi="Calibri" w:cs="Calibri"/>
          <w:bCs/>
          <w:color w:val="000000"/>
          <w:u w:val="single"/>
          <w:lang w:val="en-US"/>
        </w:rPr>
        <w:t>Member Authorities of the SFWG</w:t>
      </w:r>
    </w:p>
    <w:p w14:paraId="3AAD2E1E" w14:textId="77777777" w:rsidR="00282A60" w:rsidRPr="00D86B3A" w:rsidRDefault="00282A60" w:rsidP="00D86B3A">
      <w:pPr>
        <w:pStyle w:val="ListParagraph"/>
        <w:numPr>
          <w:ilvl w:val="0"/>
          <w:numId w:val="29"/>
        </w:numPr>
        <w:rPr>
          <w:rFonts w:cstheme="minorHAnsi"/>
        </w:rPr>
      </w:pPr>
      <w:r w:rsidRPr="00D86B3A">
        <w:rPr>
          <w:rFonts w:cstheme="minorHAnsi"/>
        </w:rPr>
        <w:t xml:space="preserve">Ministry of Finance of the UAE </w:t>
      </w:r>
    </w:p>
    <w:p w14:paraId="20CF1A21" w14:textId="77777777" w:rsidR="00282A60" w:rsidRPr="00D86B3A" w:rsidRDefault="00282A60" w:rsidP="00D86B3A">
      <w:pPr>
        <w:pStyle w:val="ListParagraph"/>
        <w:numPr>
          <w:ilvl w:val="0"/>
          <w:numId w:val="29"/>
        </w:numPr>
        <w:rPr>
          <w:rFonts w:cstheme="minorHAnsi"/>
        </w:rPr>
      </w:pPr>
      <w:r w:rsidRPr="00D86B3A">
        <w:rPr>
          <w:rFonts w:cstheme="minorHAnsi"/>
        </w:rPr>
        <w:t>Ministry of Economy of the UAE</w:t>
      </w:r>
    </w:p>
    <w:p w14:paraId="442A26AD" w14:textId="77777777" w:rsidR="00745E45" w:rsidRPr="00D86B3A" w:rsidRDefault="00745E45" w:rsidP="00D86B3A">
      <w:pPr>
        <w:pStyle w:val="ListParagraph"/>
        <w:numPr>
          <w:ilvl w:val="0"/>
          <w:numId w:val="29"/>
        </w:numPr>
        <w:rPr>
          <w:rFonts w:cstheme="minorHAnsi"/>
        </w:rPr>
      </w:pPr>
      <w:r w:rsidRPr="00D86B3A">
        <w:rPr>
          <w:rFonts w:cstheme="minorHAnsi"/>
        </w:rPr>
        <w:t>Ministry of Climate Change and Environment of the UAE</w:t>
      </w:r>
    </w:p>
    <w:p w14:paraId="201A87A7" w14:textId="77777777" w:rsidR="00FA5318" w:rsidRPr="00D86B3A" w:rsidRDefault="00FA5318" w:rsidP="00D86B3A">
      <w:pPr>
        <w:pStyle w:val="ListParagraph"/>
        <w:numPr>
          <w:ilvl w:val="0"/>
          <w:numId w:val="29"/>
        </w:numPr>
        <w:rPr>
          <w:rFonts w:cstheme="minorHAnsi"/>
        </w:rPr>
      </w:pPr>
      <w:r w:rsidRPr="00D86B3A">
        <w:rPr>
          <w:rFonts w:cstheme="minorHAnsi"/>
        </w:rPr>
        <w:t>Central Bank of the UAE</w:t>
      </w:r>
    </w:p>
    <w:p w14:paraId="34D2CC1D" w14:textId="77777777" w:rsidR="00745E45" w:rsidRPr="00D86B3A" w:rsidRDefault="00745E45" w:rsidP="00D86B3A">
      <w:pPr>
        <w:pStyle w:val="ListParagraph"/>
        <w:numPr>
          <w:ilvl w:val="0"/>
          <w:numId w:val="29"/>
        </w:numPr>
        <w:rPr>
          <w:rFonts w:cstheme="minorHAnsi"/>
        </w:rPr>
      </w:pPr>
      <w:r w:rsidRPr="00D86B3A">
        <w:rPr>
          <w:rFonts w:cstheme="minorHAnsi"/>
        </w:rPr>
        <w:t>Securities and Commodities Authority (SCA)</w:t>
      </w:r>
    </w:p>
    <w:p w14:paraId="7488202D" w14:textId="77777777" w:rsidR="00D91CA1" w:rsidRPr="00D86B3A" w:rsidRDefault="00D91CA1" w:rsidP="00D86B3A">
      <w:pPr>
        <w:pStyle w:val="ListParagraph"/>
        <w:numPr>
          <w:ilvl w:val="0"/>
          <w:numId w:val="29"/>
        </w:numPr>
        <w:rPr>
          <w:rFonts w:cstheme="minorHAnsi"/>
        </w:rPr>
      </w:pPr>
      <w:r w:rsidRPr="00D86B3A">
        <w:rPr>
          <w:rFonts w:cstheme="minorHAnsi"/>
        </w:rPr>
        <w:t>Office of the UAE’s Special Envoy for Climate Change (OSECC)</w:t>
      </w:r>
    </w:p>
    <w:p w14:paraId="25476239" w14:textId="204B1A01" w:rsidR="00D91CA1" w:rsidRPr="00D86B3A" w:rsidRDefault="00D91CA1" w:rsidP="00D86B3A">
      <w:pPr>
        <w:pStyle w:val="ListParagraph"/>
        <w:numPr>
          <w:ilvl w:val="0"/>
          <w:numId w:val="29"/>
        </w:numPr>
        <w:rPr>
          <w:rFonts w:cstheme="minorHAnsi"/>
        </w:rPr>
      </w:pPr>
      <w:r w:rsidRPr="00D86B3A">
        <w:rPr>
          <w:rFonts w:cstheme="minorHAnsi"/>
        </w:rPr>
        <w:t>Abu Dhabi Global Market</w:t>
      </w:r>
    </w:p>
    <w:p w14:paraId="21ABD495" w14:textId="77777777" w:rsidR="000B4D38" w:rsidRPr="00D86B3A" w:rsidRDefault="00361AC6" w:rsidP="00D86B3A">
      <w:pPr>
        <w:pStyle w:val="ListParagraph"/>
        <w:numPr>
          <w:ilvl w:val="0"/>
          <w:numId w:val="29"/>
        </w:numPr>
        <w:rPr>
          <w:rFonts w:cstheme="minorHAnsi"/>
        </w:rPr>
      </w:pPr>
      <w:r w:rsidRPr="00D86B3A">
        <w:rPr>
          <w:rFonts w:cstheme="minorHAnsi"/>
        </w:rPr>
        <w:t>Dubai Financial Services Authority</w:t>
      </w:r>
    </w:p>
    <w:p w14:paraId="3E8FF28F" w14:textId="54C19632" w:rsidR="00D91CA1" w:rsidRPr="00D86B3A" w:rsidRDefault="00D91CA1" w:rsidP="00D86B3A">
      <w:pPr>
        <w:pStyle w:val="ListParagraph"/>
        <w:numPr>
          <w:ilvl w:val="0"/>
          <w:numId w:val="29"/>
        </w:numPr>
        <w:rPr>
          <w:rFonts w:cstheme="minorHAnsi"/>
        </w:rPr>
      </w:pPr>
      <w:r w:rsidRPr="00D86B3A">
        <w:rPr>
          <w:rFonts w:cstheme="minorHAnsi"/>
        </w:rPr>
        <w:t>Abu Dhabi Securities Exchange</w:t>
      </w:r>
    </w:p>
    <w:p w14:paraId="33592739" w14:textId="77777777" w:rsidR="00A00DBA" w:rsidRPr="00D86B3A" w:rsidRDefault="00A00DBA" w:rsidP="00D86B3A">
      <w:pPr>
        <w:pStyle w:val="ListParagraph"/>
        <w:numPr>
          <w:ilvl w:val="0"/>
          <w:numId w:val="29"/>
        </w:numPr>
        <w:rPr>
          <w:rFonts w:cstheme="minorHAnsi"/>
        </w:rPr>
      </w:pPr>
      <w:r w:rsidRPr="00D86B3A">
        <w:rPr>
          <w:rFonts w:cstheme="minorHAnsi"/>
        </w:rPr>
        <w:t>Dubai Financial Market</w:t>
      </w:r>
    </w:p>
    <w:p w14:paraId="3646D7F5" w14:textId="77777777" w:rsidR="00B5199D" w:rsidRPr="00D86B3A" w:rsidRDefault="00B5199D" w:rsidP="00D86B3A">
      <w:pPr>
        <w:pStyle w:val="ListParagraph"/>
        <w:numPr>
          <w:ilvl w:val="0"/>
          <w:numId w:val="29"/>
        </w:numPr>
        <w:rPr>
          <w:rFonts w:cstheme="minorHAnsi"/>
        </w:rPr>
      </w:pPr>
      <w:r w:rsidRPr="00D86B3A">
        <w:rPr>
          <w:rFonts w:cstheme="minorHAnsi"/>
        </w:rPr>
        <w:t xml:space="preserve">Nasdaq Dubai </w:t>
      </w:r>
    </w:p>
    <w:p w14:paraId="7DFC5AD1" w14:textId="77777777" w:rsidR="00277DE6" w:rsidRDefault="00277DE6" w:rsidP="00745E45">
      <w:pPr>
        <w:ind w:left="360"/>
        <w:jc w:val="both"/>
      </w:pPr>
    </w:p>
    <w:sectPr w:rsidR="00277DE6">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4136B" w16cex:dateUtc="2021-10-27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017B1" w16cid:durableId="25241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D9A4" w14:textId="77777777" w:rsidR="00DB2706" w:rsidRDefault="00DB2706" w:rsidP="00D4314E">
      <w:pPr>
        <w:spacing w:after="0" w:line="240" w:lineRule="auto"/>
      </w:pPr>
      <w:r>
        <w:separator/>
      </w:r>
    </w:p>
  </w:endnote>
  <w:endnote w:type="continuationSeparator" w:id="0">
    <w:p w14:paraId="7F968CDF" w14:textId="77777777" w:rsidR="00DB2706" w:rsidRDefault="00DB2706" w:rsidP="00D4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76731"/>
      <w:docPartObj>
        <w:docPartGallery w:val="Page Numbers (Bottom of Page)"/>
        <w:docPartUnique/>
      </w:docPartObj>
    </w:sdtPr>
    <w:sdtEndPr>
      <w:rPr>
        <w:noProof/>
      </w:rPr>
    </w:sdtEndPr>
    <w:sdtContent>
      <w:p w14:paraId="60BDC6CE" w14:textId="6D0E599C" w:rsidR="0070578C" w:rsidRDefault="0070578C">
        <w:pPr>
          <w:pStyle w:val="Footer"/>
          <w:jc w:val="right"/>
        </w:pPr>
        <w:r>
          <w:fldChar w:fldCharType="begin"/>
        </w:r>
        <w:r>
          <w:instrText xml:space="preserve"> PAGE   \* MERGEFORMAT </w:instrText>
        </w:r>
        <w:r>
          <w:fldChar w:fldCharType="separate"/>
        </w:r>
        <w:r w:rsidR="000524CC">
          <w:rPr>
            <w:noProof/>
          </w:rPr>
          <w:t>5</w:t>
        </w:r>
        <w:r>
          <w:rPr>
            <w:noProof/>
          </w:rPr>
          <w:fldChar w:fldCharType="end"/>
        </w:r>
      </w:p>
    </w:sdtContent>
  </w:sdt>
  <w:p w14:paraId="6B80C624" w14:textId="77777777" w:rsidR="0070578C" w:rsidRDefault="0070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7E46" w14:textId="77777777" w:rsidR="00DB2706" w:rsidRDefault="00DB2706" w:rsidP="00D4314E">
      <w:pPr>
        <w:spacing w:after="0" w:line="240" w:lineRule="auto"/>
      </w:pPr>
      <w:r>
        <w:separator/>
      </w:r>
    </w:p>
  </w:footnote>
  <w:footnote w:type="continuationSeparator" w:id="0">
    <w:p w14:paraId="6D6E43D7" w14:textId="77777777" w:rsidR="00DB2706" w:rsidRDefault="00DB2706" w:rsidP="00D4314E">
      <w:pPr>
        <w:spacing w:after="0" w:line="240" w:lineRule="auto"/>
      </w:pPr>
      <w:r>
        <w:continuationSeparator/>
      </w:r>
    </w:p>
  </w:footnote>
  <w:footnote w:id="1">
    <w:p w14:paraId="57B7F9E2" w14:textId="053B7D77" w:rsidR="0004537A" w:rsidRPr="006B2AB7" w:rsidRDefault="0004537A" w:rsidP="0004537A">
      <w:pPr>
        <w:pStyle w:val="FootnoteText"/>
        <w:rPr>
          <w:lang w:val="en-US"/>
        </w:rPr>
      </w:pPr>
      <w:r>
        <w:rPr>
          <w:rStyle w:val="FootnoteReference"/>
        </w:rPr>
        <w:footnoteRef/>
      </w:r>
      <w:r>
        <w:t xml:space="preserve"> </w:t>
      </w:r>
      <w:r w:rsidRPr="00D86B3A">
        <w:t xml:space="preserve">Please see list of the </w:t>
      </w:r>
      <w:r w:rsidR="00121B29" w:rsidRPr="00D86B3A">
        <w:t xml:space="preserve">Member Authorities of the SFWG </w:t>
      </w:r>
      <w:r w:rsidRPr="00D86B3A">
        <w:t>in the Annex.</w:t>
      </w:r>
    </w:p>
  </w:footnote>
  <w:footnote w:id="2">
    <w:p w14:paraId="62D1B446" w14:textId="7A6CBCA0" w:rsidR="0070578C" w:rsidRDefault="0070578C">
      <w:pPr>
        <w:pStyle w:val="FootnoteText"/>
      </w:pPr>
      <w:r>
        <w:rPr>
          <w:rStyle w:val="FootnoteReference"/>
        </w:rPr>
        <w:footnoteRef/>
      </w:r>
      <w:r>
        <w:t xml:space="preserve"> </w:t>
      </w:r>
      <w:hyperlink r:id="rId1" w:history="1">
        <w:r w:rsidRPr="0026167D">
          <w:rPr>
            <w:rStyle w:val="Hyperlink"/>
          </w:rPr>
          <w:t>https://www.adgm.com/documents/fsra/sustainable-finance/abu-dhabi-sustainable-finance-guiding-principles.pdf?la=en&amp;hash=94CC2FE187660C45C522EE845670A6E3</w:t>
        </w:r>
      </w:hyperlink>
      <w:r>
        <w:t xml:space="preserve"> </w:t>
      </w:r>
    </w:p>
    <w:p w14:paraId="388D407C" w14:textId="0AA29951" w:rsidR="00EB1362" w:rsidRPr="00D91CA1" w:rsidRDefault="00EB1362">
      <w:pPr>
        <w:pStyle w:val="FootnoteText"/>
        <w:rPr>
          <w:lang w:val="en-US"/>
        </w:rPr>
      </w:pPr>
    </w:p>
  </w:footnote>
  <w:footnote w:id="3">
    <w:p w14:paraId="21FDCEC1" w14:textId="46DAE505" w:rsidR="00D91CA1" w:rsidRPr="00D91CA1" w:rsidRDefault="00D91CA1">
      <w:pPr>
        <w:pStyle w:val="FootnoteText"/>
        <w:rPr>
          <w:lang w:val="en-US"/>
        </w:rPr>
      </w:pPr>
      <w:r>
        <w:rPr>
          <w:rStyle w:val="FootnoteReference"/>
        </w:rPr>
        <w:footnoteRef/>
      </w:r>
      <w:r>
        <w:t xml:space="preserve"> </w:t>
      </w:r>
      <w:r w:rsidRPr="00D86B3A">
        <w:t xml:space="preserve">Please see list </w:t>
      </w:r>
      <w:r w:rsidR="00121B29" w:rsidRPr="00D86B3A">
        <w:t xml:space="preserve">of the Member Authorities of the SFWG </w:t>
      </w:r>
      <w:r w:rsidRPr="00D86B3A">
        <w:t>in the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DBC"/>
    <w:multiLevelType w:val="hybridMultilevel"/>
    <w:tmpl w:val="6016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30027"/>
    <w:multiLevelType w:val="hybridMultilevel"/>
    <w:tmpl w:val="4AA0528C"/>
    <w:lvl w:ilvl="0" w:tplc="D83AC828">
      <w:start w:val="1"/>
      <w:numFmt w:val="decimal"/>
      <w:pStyle w:val="PriorityAction"/>
      <w:lvlText w:val="Action #%1."/>
      <w:lvlJc w:val="left"/>
      <w:pPr>
        <w:ind w:left="720" w:hanging="360"/>
      </w:pPr>
      <w:rPr>
        <w:rFonts w:hint="default"/>
        <w:b/>
        <w:i/>
      </w:rPr>
    </w:lvl>
    <w:lvl w:ilvl="1" w:tplc="07DCC5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16DFD"/>
    <w:multiLevelType w:val="hybridMultilevel"/>
    <w:tmpl w:val="493E2C58"/>
    <w:lvl w:ilvl="0" w:tplc="8DBA994E">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0123ED"/>
    <w:multiLevelType w:val="hybridMultilevel"/>
    <w:tmpl w:val="CD4EA9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62420"/>
    <w:multiLevelType w:val="hybridMultilevel"/>
    <w:tmpl w:val="322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63C61"/>
    <w:multiLevelType w:val="hybridMultilevel"/>
    <w:tmpl w:val="0B0C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949BB"/>
    <w:multiLevelType w:val="hybridMultilevel"/>
    <w:tmpl w:val="E6BEA93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455D490C"/>
    <w:multiLevelType w:val="hybridMultilevel"/>
    <w:tmpl w:val="1592C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7C2825"/>
    <w:multiLevelType w:val="hybridMultilevel"/>
    <w:tmpl w:val="7CCAEEEE"/>
    <w:lvl w:ilvl="0" w:tplc="7876D016">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9" w15:restartNumberingAfterBreak="0">
    <w:nsid w:val="63934EA5"/>
    <w:multiLevelType w:val="hybridMultilevel"/>
    <w:tmpl w:val="D9FE9D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9D6FC8"/>
    <w:multiLevelType w:val="hybridMultilevel"/>
    <w:tmpl w:val="6956634E"/>
    <w:lvl w:ilvl="0" w:tplc="08090001">
      <w:start w:val="1"/>
      <w:numFmt w:val="bullet"/>
      <w:lvlText w:val=""/>
      <w:lvlJc w:val="left"/>
      <w:pPr>
        <w:ind w:left="360" w:hanging="360"/>
      </w:pPr>
      <w:rPr>
        <w:rFonts w:ascii="Symbol" w:hAnsi="Symbol" w:hint="default"/>
      </w:rPr>
    </w:lvl>
    <w:lvl w:ilvl="1" w:tplc="15F816DA">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EF3692"/>
    <w:multiLevelType w:val="hybridMultilevel"/>
    <w:tmpl w:val="966C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AB5687"/>
    <w:multiLevelType w:val="hybridMultilevel"/>
    <w:tmpl w:val="C1DEED2A"/>
    <w:lvl w:ilvl="0" w:tplc="5FB649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23942"/>
    <w:multiLevelType w:val="multilevel"/>
    <w:tmpl w:val="4440BC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7"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2"/>
  </w:num>
  <w:num w:numId="6">
    <w:abstractNumId w:val="4"/>
  </w:num>
  <w:num w:numId="7">
    <w:abstractNumId w:val="12"/>
  </w:num>
  <w:num w:numId="8">
    <w:abstractNumId w:val="6"/>
  </w:num>
  <w:num w:numId="9">
    <w:abstractNumId w:val="12"/>
  </w:num>
  <w:num w:numId="10">
    <w:abstractNumId w:val="12"/>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5"/>
  </w:num>
  <w:num w:numId="26">
    <w:abstractNumId w:val="12"/>
  </w:num>
  <w:num w:numId="27">
    <w:abstractNumId w:val="1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E7"/>
    <w:rsid w:val="000176EB"/>
    <w:rsid w:val="0004537A"/>
    <w:rsid w:val="000524CC"/>
    <w:rsid w:val="00054629"/>
    <w:rsid w:val="00075713"/>
    <w:rsid w:val="00084395"/>
    <w:rsid w:val="0008672A"/>
    <w:rsid w:val="000B1396"/>
    <w:rsid w:val="000B4D38"/>
    <w:rsid w:val="000C3975"/>
    <w:rsid w:val="000C72CE"/>
    <w:rsid w:val="00112CD3"/>
    <w:rsid w:val="00120810"/>
    <w:rsid w:val="00121B29"/>
    <w:rsid w:val="0013480F"/>
    <w:rsid w:val="00146827"/>
    <w:rsid w:val="00150AB2"/>
    <w:rsid w:val="00154766"/>
    <w:rsid w:val="00156A70"/>
    <w:rsid w:val="001620A5"/>
    <w:rsid w:val="001635DE"/>
    <w:rsid w:val="00187308"/>
    <w:rsid w:val="001C6A10"/>
    <w:rsid w:val="001C7089"/>
    <w:rsid w:val="001D1DB7"/>
    <w:rsid w:val="001D39F9"/>
    <w:rsid w:val="001E4087"/>
    <w:rsid w:val="00203651"/>
    <w:rsid w:val="00203913"/>
    <w:rsid w:val="00207708"/>
    <w:rsid w:val="0020791B"/>
    <w:rsid w:val="002206E1"/>
    <w:rsid w:val="00235285"/>
    <w:rsid w:val="002408F2"/>
    <w:rsid w:val="0024442C"/>
    <w:rsid w:val="0025416E"/>
    <w:rsid w:val="0026784A"/>
    <w:rsid w:val="00277199"/>
    <w:rsid w:val="00277DE6"/>
    <w:rsid w:val="00282A60"/>
    <w:rsid w:val="002F7009"/>
    <w:rsid w:val="003236B2"/>
    <w:rsid w:val="0033695F"/>
    <w:rsid w:val="00361AC6"/>
    <w:rsid w:val="0037362C"/>
    <w:rsid w:val="00391181"/>
    <w:rsid w:val="003963A4"/>
    <w:rsid w:val="003A6381"/>
    <w:rsid w:val="003A7DC5"/>
    <w:rsid w:val="003B2E8F"/>
    <w:rsid w:val="003C69C7"/>
    <w:rsid w:val="003D76C5"/>
    <w:rsid w:val="003E25F1"/>
    <w:rsid w:val="003F27CB"/>
    <w:rsid w:val="00422862"/>
    <w:rsid w:val="00424229"/>
    <w:rsid w:val="004507A3"/>
    <w:rsid w:val="00490EEE"/>
    <w:rsid w:val="00494ED3"/>
    <w:rsid w:val="0049733F"/>
    <w:rsid w:val="004A0D35"/>
    <w:rsid w:val="004A1845"/>
    <w:rsid w:val="004B2D54"/>
    <w:rsid w:val="004B34A6"/>
    <w:rsid w:val="004B471D"/>
    <w:rsid w:val="004B663B"/>
    <w:rsid w:val="004C7568"/>
    <w:rsid w:val="00500B5C"/>
    <w:rsid w:val="0050161E"/>
    <w:rsid w:val="0050365E"/>
    <w:rsid w:val="0051503F"/>
    <w:rsid w:val="00545DE7"/>
    <w:rsid w:val="00585FC3"/>
    <w:rsid w:val="005B3104"/>
    <w:rsid w:val="005C0299"/>
    <w:rsid w:val="005C29D3"/>
    <w:rsid w:val="005C31CD"/>
    <w:rsid w:val="005C4612"/>
    <w:rsid w:val="005F277A"/>
    <w:rsid w:val="005F43F5"/>
    <w:rsid w:val="005F7801"/>
    <w:rsid w:val="0060009F"/>
    <w:rsid w:val="00602BAC"/>
    <w:rsid w:val="00605102"/>
    <w:rsid w:val="00620970"/>
    <w:rsid w:val="00627DA6"/>
    <w:rsid w:val="00651ED9"/>
    <w:rsid w:val="00653E88"/>
    <w:rsid w:val="00654C55"/>
    <w:rsid w:val="0066723A"/>
    <w:rsid w:val="00672707"/>
    <w:rsid w:val="006939F6"/>
    <w:rsid w:val="006B7EA9"/>
    <w:rsid w:val="006C6F31"/>
    <w:rsid w:val="006E4CAD"/>
    <w:rsid w:val="0070578C"/>
    <w:rsid w:val="00705A03"/>
    <w:rsid w:val="00710C11"/>
    <w:rsid w:val="00714093"/>
    <w:rsid w:val="00717E82"/>
    <w:rsid w:val="00721B3C"/>
    <w:rsid w:val="00745E45"/>
    <w:rsid w:val="00762872"/>
    <w:rsid w:val="00763858"/>
    <w:rsid w:val="00763F40"/>
    <w:rsid w:val="00765A93"/>
    <w:rsid w:val="007F26ED"/>
    <w:rsid w:val="007F340D"/>
    <w:rsid w:val="0081357C"/>
    <w:rsid w:val="008214F5"/>
    <w:rsid w:val="00843B49"/>
    <w:rsid w:val="00851688"/>
    <w:rsid w:val="008614D5"/>
    <w:rsid w:val="0087564E"/>
    <w:rsid w:val="00876187"/>
    <w:rsid w:val="008C2C13"/>
    <w:rsid w:val="008E4A43"/>
    <w:rsid w:val="008F777A"/>
    <w:rsid w:val="00900FDF"/>
    <w:rsid w:val="0092226E"/>
    <w:rsid w:val="00955697"/>
    <w:rsid w:val="009A1BB5"/>
    <w:rsid w:val="009D773D"/>
    <w:rsid w:val="00A00DBA"/>
    <w:rsid w:val="00A1231F"/>
    <w:rsid w:val="00A21C49"/>
    <w:rsid w:val="00A22618"/>
    <w:rsid w:val="00A809C9"/>
    <w:rsid w:val="00AA2AEC"/>
    <w:rsid w:val="00AA2D74"/>
    <w:rsid w:val="00AF191C"/>
    <w:rsid w:val="00B13639"/>
    <w:rsid w:val="00B138CD"/>
    <w:rsid w:val="00B14A3A"/>
    <w:rsid w:val="00B153B3"/>
    <w:rsid w:val="00B2481C"/>
    <w:rsid w:val="00B24A0B"/>
    <w:rsid w:val="00B404AF"/>
    <w:rsid w:val="00B5199D"/>
    <w:rsid w:val="00B83222"/>
    <w:rsid w:val="00BB048D"/>
    <w:rsid w:val="00BC3F88"/>
    <w:rsid w:val="00BE5B77"/>
    <w:rsid w:val="00BE682A"/>
    <w:rsid w:val="00BF66CA"/>
    <w:rsid w:val="00C02B7D"/>
    <w:rsid w:val="00C0325D"/>
    <w:rsid w:val="00C25752"/>
    <w:rsid w:val="00C3043E"/>
    <w:rsid w:val="00C31217"/>
    <w:rsid w:val="00C32DA8"/>
    <w:rsid w:val="00C44534"/>
    <w:rsid w:val="00C648CD"/>
    <w:rsid w:val="00C752BF"/>
    <w:rsid w:val="00C878E5"/>
    <w:rsid w:val="00CA725C"/>
    <w:rsid w:val="00CD4025"/>
    <w:rsid w:val="00CF3C39"/>
    <w:rsid w:val="00D016BD"/>
    <w:rsid w:val="00D10040"/>
    <w:rsid w:val="00D3274D"/>
    <w:rsid w:val="00D4314E"/>
    <w:rsid w:val="00D50D24"/>
    <w:rsid w:val="00D5577E"/>
    <w:rsid w:val="00D57739"/>
    <w:rsid w:val="00D61DE7"/>
    <w:rsid w:val="00D7782E"/>
    <w:rsid w:val="00D86B3A"/>
    <w:rsid w:val="00D91CA1"/>
    <w:rsid w:val="00D93197"/>
    <w:rsid w:val="00D93C42"/>
    <w:rsid w:val="00D96A9D"/>
    <w:rsid w:val="00DB2706"/>
    <w:rsid w:val="00DE0552"/>
    <w:rsid w:val="00DE46D3"/>
    <w:rsid w:val="00DE77CE"/>
    <w:rsid w:val="00DF3940"/>
    <w:rsid w:val="00E33216"/>
    <w:rsid w:val="00E40456"/>
    <w:rsid w:val="00E414DB"/>
    <w:rsid w:val="00E43308"/>
    <w:rsid w:val="00E711C4"/>
    <w:rsid w:val="00E71FF0"/>
    <w:rsid w:val="00E74E0A"/>
    <w:rsid w:val="00E76CA5"/>
    <w:rsid w:val="00E8181C"/>
    <w:rsid w:val="00E96985"/>
    <w:rsid w:val="00EB1362"/>
    <w:rsid w:val="00EC1C01"/>
    <w:rsid w:val="00EE7846"/>
    <w:rsid w:val="00EF53A6"/>
    <w:rsid w:val="00F14755"/>
    <w:rsid w:val="00F47421"/>
    <w:rsid w:val="00F57957"/>
    <w:rsid w:val="00FA5318"/>
    <w:rsid w:val="00FD1ED1"/>
    <w:rsid w:val="00FD4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40AB"/>
  <w15:chartTrackingRefBased/>
  <w15:docId w15:val="{885CFC7A-2702-419F-869B-43FEDFB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E7"/>
  </w:style>
  <w:style w:type="paragraph" w:styleId="Heading1">
    <w:name w:val="heading 1"/>
    <w:basedOn w:val="Normal"/>
    <w:next w:val="Normal"/>
    <w:link w:val="Heading1Char"/>
    <w:uiPriority w:val="9"/>
    <w:qFormat/>
    <w:rsid w:val="00E74E0A"/>
    <w:pPr>
      <w:keepNext/>
      <w:keepLines/>
      <w:numPr>
        <w:numId w:val="13"/>
      </w:numPr>
      <w:spacing w:before="360" w:after="360" w:line="240" w:lineRule="auto"/>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E74E0A"/>
    <w:pPr>
      <w:keepNext/>
      <w:keepLines/>
      <w:numPr>
        <w:ilvl w:val="1"/>
        <w:numId w:val="13"/>
      </w:numPr>
      <w:tabs>
        <w:tab w:val="left" w:pos="851"/>
      </w:tabs>
      <w:spacing w:before="180" w:after="120" w:line="240" w:lineRule="auto"/>
      <w:ind w:right="17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74E0A"/>
    <w:pPr>
      <w:keepNext/>
      <w:keepLines/>
      <w:numPr>
        <w:ilvl w:val="2"/>
        <w:numId w:val="13"/>
      </w:numPr>
      <w:spacing w:before="120" w:after="120" w:line="24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74E0A"/>
    <w:pPr>
      <w:keepNext/>
      <w:keepLines/>
      <w:numPr>
        <w:ilvl w:val="3"/>
        <w:numId w:val="13"/>
      </w:numPr>
      <w:spacing w:before="200" w:after="0" w:line="240" w:lineRule="auto"/>
      <w:jc w:val="both"/>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semiHidden/>
    <w:unhideWhenUsed/>
    <w:qFormat/>
    <w:rsid w:val="00E74E0A"/>
    <w:pPr>
      <w:keepNext/>
      <w:keepLines/>
      <w:numPr>
        <w:ilvl w:val="4"/>
        <w:numId w:val="13"/>
      </w:numPr>
      <w:spacing w:before="200" w:after="0" w:line="240" w:lineRule="auto"/>
      <w:jc w:val="both"/>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E74E0A"/>
    <w:pPr>
      <w:keepNext/>
      <w:keepLines/>
      <w:numPr>
        <w:ilvl w:val="5"/>
        <w:numId w:val="13"/>
      </w:numPr>
      <w:spacing w:before="200" w:after="0" w:line="240" w:lineRule="auto"/>
      <w:jc w:val="both"/>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E74E0A"/>
    <w:pPr>
      <w:keepNext/>
      <w:keepLines/>
      <w:numPr>
        <w:ilvl w:val="6"/>
        <w:numId w:val="13"/>
      </w:numPr>
      <w:spacing w:before="200" w:after="0" w:line="24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74E0A"/>
    <w:pPr>
      <w:keepNext/>
      <w:keepLines/>
      <w:numPr>
        <w:ilvl w:val="7"/>
        <w:numId w:val="1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4E0A"/>
    <w:pPr>
      <w:keepNext/>
      <w:keepLines/>
      <w:numPr>
        <w:ilvl w:val="8"/>
        <w:numId w:val="1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E7"/>
    <w:pPr>
      <w:spacing w:after="0" w:line="240" w:lineRule="auto"/>
    </w:pPr>
    <w:rPr>
      <w:rFonts w:ascii="Times New Roman" w:hAnsi="Times New Roman" w:cs="Times New Roman"/>
      <w:sz w:val="24"/>
      <w:szCs w:val="24"/>
      <w:lang w:eastAsia="en-GB"/>
    </w:rPr>
  </w:style>
  <w:style w:type="paragraph" w:styleId="ListParagraph">
    <w:name w:val="List Paragraph"/>
    <w:aliases w:val="Paragraphe EI,EC,Colorful List Accent 1,Paragraphe de liste11,Liste couleur - Accent 11,Paragraphe de liste2,Liste couleur - Accent 111,Policy_Paragraph,List Paragraph1,Issue Action POC,3,Dot pt,POCG Table Text,F5 List Paragraph,Bullet 1"/>
    <w:basedOn w:val="Normal"/>
    <w:link w:val="ListParagraphChar"/>
    <w:autoRedefine/>
    <w:uiPriority w:val="34"/>
    <w:qFormat/>
    <w:rsid w:val="00B153B3"/>
    <w:pPr>
      <w:numPr>
        <w:numId w:val="5"/>
      </w:numPr>
      <w:autoSpaceDE w:val="0"/>
      <w:autoSpaceDN w:val="0"/>
      <w:adjustRightInd w:val="0"/>
      <w:spacing w:before="120" w:after="120" w:line="240" w:lineRule="auto"/>
      <w:jc w:val="both"/>
    </w:pPr>
    <w:rPr>
      <w:rFonts w:ascii="AppleSystemUIFont" w:hAnsi="AppleSystemUIFont" w:cs="AppleSystemUIFont"/>
      <w:sz w:val="24"/>
      <w:szCs w:val="24"/>
      <w:lang w:eastAsia="en-GB"/>
    </w:rPr>
  </w:style>
  <w:style w:type="character" w:styleId="CommentReference">
    <w:name w:val="annotation reference"/>
    <w:basedOn w:val="DefaultParagraphFont"/>
    <w:uiPriority w:val="99"/>
    <w:semiHidden/>
    <w:unhideWhenUsed/>
    <w:rsid w:val="0066723A"/>
    <w:rPr>
      <w:sz w:val="16"/>
      <w:szCs w:val="16"/>
    </w:rPr>
  </w:style>
  <w:style w:type="paragraph" w:styleId="CommentText">
    <w:name w:val="annotation text"/>
    <w:basedOn w:val="Normal"/>
    <w:link w:val="CommentTextChar"/>
    <w:uiPriority w:val="99"/>
    <w:unhideWhenUsed/>
    <w:rsid w:val="0066723A"/>
    <w:pPr>
      <w:spacing w:line="240" w:lineRule="auto"/>
    </w:pPr>
    <w:rPr>
      <w:sz w:val="20"/>
      <w:szCs w:val="20"/>
    </w:rPr>
  </w:style>
  <w:style w:type="character" w:customStyle="1" w:styleId="CommentTextChar">
    <w:name w:val="Comment Text Char"/>
    <w:basedOn w:val="DefaultParagraphFont"/>
    <w:link w:val="CommentText"/>
    <w:uiPriority w:val="99"/>
    <w:rsid w:val="0066723A"/>
    <w:rPr>
      <w:sz w:val="20"/>
      <w:szCs w:val="20"/>
    </w:rPr>
  </w:style>
  <w:style w:type="paragraph" w:styleId="BalloonText">
    <w:name w:val="Balloon Text"/>
    <w:basedOn w:val="Normal"/>
    <w:link w:val="BalloonTextChar"/>
    <w:uiPriority w:val="99"/>
    <w:semiHidden/>
    <w:unhideWhenUsed/>
    <w:rsid w:val="00667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A"/>
    <w:rPr>
      <w:rFonts w:ascii="Segoe UI" w:hAnsi="Segoe UI" w:cs="Segoe UI"/>
      <w:sz w:val="18"/>
      <w:szCs w:val="18"/>
    </w:rPr>
  </w:style>
  <w:style w:type="table" w:styleId="TableGrid">
    <w:name w:val="Table Grid"/>
    <w:basedOn w:val="TableNormal"/>
    <w:uiPriority w:val="39"/>
    <w:rsid w:val="00B1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3B3"/>
    <w:rPr>
      <w:color w:val="0000FF"/>
      <w:u w:val="single"/>
    </w:rPr>
  </w:style>
  <w:style w:type="character" w:customStyle="1" w:styleId="FootnoteTextChar">
    <w:name w:val="Footnote Text Char"/>
    <w:aliases w:val="PRI Footnote Text Char,Char Char,Fußnote Char,Carattere Char,fn Char,Footnotes Char,Footnote ak... + Arial Char,8 pt Char"/>
    <w:basedOn w:val="DefaultParagraphFont"/>
    <w:link w:val="FootnoteText"/>
    <w:uiPriority w:val="99"/>
    <w:locked/>
    <w:rsid w:val="00D4314E"/>
    <w:rPr>
      <w:rFonts w:ascii="Times New Roman" w:hAnsi="Times New Roman" w:cs="Times New Roman"/>
      <w:sz w:val="20"/>
      <w:szCs w:val="20"/>
    </w:rPr>
  </w:style>
  <w:style w:type="paragraph" w:styleId="FootnoteText">
    <w:name w:val="footnote text"/>
    <w:aliases w:val="PRI Footnote Text,Char,Fußnote,Carattere,fn,Footnotes,Footnote ak... + Arial,8 pt"/>
    <w:basedOn w:val="Normal"/>
    <w:link w:val="FootnoteTextChar"/>
    <w:uiPriority w:val="99"/>
    <w:unhideWhenUsed/>
    <w:qFormat/>
    <w:rsid w:val="00D4314E"/>
    <w:pPr>
      <w:spacing w:before="120" w:after="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D4314E"/>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sid w:val="00D4314E"/>
    <w:rPr>
      <w:vertAlign w:val="superscript"/>
    </w:rPr>
  </w:style>
  <w:style w:type="paragraph" w:customStyle="1" w:styleId="16Point">
    <w:name w:val="16 Point"/>
    <w:aliases w:val="Superscript 6 Point,Times 10 Point,Exposant 3 Point,Footnote reference number,Odwołanie przypisu,number,Ref,de nota al pie,footnote ref,2001+ Fußnotenzeichen,BVI fnr Знак Знак,BVI fnr Car Car Знак Знак,BVI fnr Car Знак Знак,R, Exposant 3 Point"/>
    <w:basedOn w:val="Normal"/>
    <w:link w:val="FootnoteReference"/>
    <w:uiPriority w:val="99"/>
    <w:rsid w:val="00D4314E"/>
    <w:pPr>
      <w:spacing w:before="120" w:line="240" w:lineRule="exact"/>
    </w:pPr>
    <w:rPr>
      <w:vertAlign w:val="superscript"/>
    </w:rPr>
  </w:style>
  <w:style w:type="character" w:customStyle="1" w:styleId="ListParagraphChar">
    <w:name w:val="List Paragraph Char"/>
    <w:aliases w:val="Paragraphe EI Char,EC Char,Colorful List Accent 1 Char,Paragraphe de liste11 Char,Liste couleur - Accent 11 Char,Paragraphe de liste2 Char,Liste couleur - Accent 111 Char,Policy_Paragraph Char,List Paragraph1 Char,3 Char,Dot pt Char"/>
    <w:basedOn w:val="DefaultParagraphFont"/>
    <w:link w:val="ListParagraph"/>
    <w:uiPriority w:val="34"/>
    <w:qFormat/>
    <w:locked/>
    <w:rsid w:val="00765A93"/>
    <w:rPr>
      <w:rFonts w:ascii="AppleSystemUIFont" w:hAnsi="AppleSystemUIFont" w:cs="AppleSystemUIFont"/>
      <w:sz w:val="24"/>
      <w:szCs w:val="24"/>
      <w:lang w:eastAsia="en-GB"/>
    </w:rPr>
  </w:style>
  <w:style w:type="paragraph" w:customStyle="1" w:styleId="PriorityAction">
    <w:name w:val="Priority Action"/>
    <w:basedOn w:val="Normal"/>
    <w:qFormat/>
    <w:rsid w:val="00E74E0A"/>
    <w:pPr>
      <w:numPr>
        <w:numId w:val="12"/>
      </w:numPr>
      <w:spacing w:before="120" w:after="120" w:line="240" w:lineRule="auto"/>
      <w:jc w:val="both"/>
    </w:pPr>
    <w:rPr>
      <w:rFonts w:ascii="Times New Roman" w:hAnsi="Times New Roman"/>
      <w:b/>
      <w:i/>
      <w:sz w:val="24"/>
    </w:rPr>
  </w:style>
  <w:style w:type="character" w:customStyle="1" w:styleId="Ohne">
    <w:name w:val="Ohne"/>
    <w:basedOn w:val="DefaultParagraphFont"/>
    <w:rsid w:val="00E74E0A"/>
  </w:style>
  <w:style w:type="character" w:customStyle="1" w:styleId="Heading1Char">
    <w:name w:val="Heading 1 Char"/>
    <w:basedOn w:val="DefaultParagraphFont"/>
    <w:link w:val="Heading1"/>
    <w:uiPriority w:val="9"/>
    <w:rsid w:val="00E74E0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74E0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74E0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E74E0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E74E0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E74E0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E74E0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74E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4E0A"/>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43308"/>
    <w:rPr>
      <w:b/>
      <w:bCs/>
    </w:rPr>
  </w:style>
  <w:style w:type="character" w:customStyle="1" w:styleId="CommentSubjectChar">
    <w:name w:val="Comment Subject Char"/>
    <w:basedOn w:val="CommentTextChar"/>
    <w:link w:val="CommentSubject"/>
    <w:uiPriority w:val="99"/>
    <w:semiHidden/>
    <w:rsid w:val="00E43308"/>
    <w:rPr>
      <w:b/>
      <w:bCs/>
      <w:sz w:val="20"/>
      <w:szCs w:val="20"/>
    </w:rPr>
  </w:style>
  <w:style w:type="paragraph" w:styleId="Header">
    <w:name w:val="header"/>
    <w:basedOn w:val="Normal"/>
    <w:link w:val="HeaderChar"/>
    <w:uiPriority w:val="99"/>
    <w:unhideWhenUsed/>
    <w:rsid w:val="001D39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9F9"/>
  </w:style>
  <w:style w:type="paragraph" w:styleId="Footer">
    <w:name w:val="footer"/>
    <w:basedOn w:val="Normal"/>
    <w:link w:val="FooterChar"/>
    <w:uiPriority w:val="99"/>
    <w:unhideWhenUsed/>
    <w:rsid w:val="001D3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9F9"/>
  </w:style>
  <w:style w:type="paragraph" w:styleId="Revision">
    <w:name w:val="Revision"/>
    <w:hidden/>
    <w:uiPriority w:val="99"/>
    <w:semiHidden/>
    <w:rsid w:val="00C44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9963">
      <w:bodyDiv w:val="1"/>
      <w:marLeft w:val="0"/>
      <w:marRight w:val="0"/>
      <w:marTop w:val="0"/>
      <w:marBottom w:val="0"/>
      <w:divBdr>
        <w:top w:val="none" w:sz="0" w:space="0" w:color="auto"/>
        <w:left w:val="none" w:sz="0" w:space="0" w:color="auto"/>
        <w:bottom w:val="none" w:sz="0" w:space="0" w:color="auto"/>
        <w:right w:val="none" w:sz="0" w:space="0" w:color="auto"/>
      </w:divBdr>
    </w:div>
    <w:div w:id="505940374">
      <w:bodyDiv w:val="1"/>
      <w:marLeft w:val="0"/>
      <w:marRight w:val="0"/>
      <w:marTop w:val="0"/>
      <w:marBottom w:val="0"/>
      <w:divBdr>
        <w:top w:val="none" w:sz="0" w:space="0" w:color="auto"/>
        <w:left w:val="none" w:sz="0" w:space="0" w:color="auto"/>
        <w:bottom w:val="none" w:sz="0" w:space="0" w:color="auto"/>
        <w:right w:val="none" w:sz="0" w:space="0" w:color="auto"/>
      </w:divBdr>
    </w:div>
    <w:div w:id="763573608">
      <w:bodyDiv w:val="1"/>
      <w:marLeft w:val="0"/>
      <w:marRight w:val="0"/>
      <w:marTop w:val="0"/>
      <w:marBottom w:val="0"/>
      <w:divBdr>
        <w:top w:val="none" w:sz="0" w:space="0" w:color="auto"/>
        <w:left w:val="none" w:sz="0" w:space="0" w:color="auto"/>
        <w:bottom w:val="none" w:sz="0" w:space="0" w:color="auto"/>
        <w:right w:val="none" w:sz="0" w:space="0" w:color="auto"/>
      </w:divBdr>
    </w:div>
    <w:div w:id="1271275714">
      <w:bodyDiv w:val="1"/>
      <w:marLeft w:val="0"/>
      <w:marRight w:val="0"/>
      <w:marTop w:val="0"/>
      <w:marBottom w:val="0"/>
      <w:divBdr>
        <w:top w:val="none" w:sz="0" w:space="0" w:color="auto"/>
        <w:left w:val="none" w:sz="0" w:space="0" w:color="auto"/>
        <w:bottom w:val="none" w:sz="0" w:space="0" w:color="auto"/>
        <w:right w:val="none" w:sz="0" w:space="0" w:color="auto"/>
      </w:divBdr>
    </w:div>
    <w:div w:id="1429426840">
      <w:bodyDiv w:val="1"/>
      <w:marLeft w:val="0"/>
      <w:marRight w:val="0"/>
      <w:marTop w:val="0"/>
      <w:marBottom w:val="0"/>
      <w:divBdr>
        <w:top w:val="none" w:sz="0" w:space="0" w:color="auto"/>
        <w:left w:val="none" w:sz="0" w:space="0" w:color="auto"/>
        <w:bottom w:val="none" w:sz="0" w:space="0" w:color="auto"/>
        <w:right w:val="none" w:sz="0" w:space="0" w:color="auto"/>
      </w:divBdr>
    </w:div>
    <w:div w:id="1938441378">
      <w:bodyDiv w:val="1"/>
      <w:marLeft w:val="0"/>
      <w:marRight w:val="0"/>
      <w:marTop w:val="0"/>
      <w:marBottom w:val="0"/>
      <w:divBdr>
        <w:top w:val="none" w:sz="0" w:space="0" w:color="auto"/>
        <w:left w:val="none" w:sz="0" w:space="0" w:color="auto"/>
        <w:bottom w:val="none" w:sz="0" w:space="0" w:color="auto"/>
        <w:right w:val="none" w:sz="0" w:space="0" w:color="auto"/>
      </w:divBdr>
      <w:divsChild>
        <w:div w:id="204879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gm.com/documents/fsra/sustainable-finance/abu-dhabi-sustainable-finance-guiding-principles.pdf?la=en&amp;hash=94CC2FE187660C45C522EE845670A6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61C7-2D27-4763-995F-ABD433DB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ADGM</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Vela Monserrate</dc:creator>
  <cp:keywords/>
  <dc:description/>
  <cp:lastModifiedBy>Mercedes Vela Monserrate</cp:lastModifiedBy>
  <cp:revision>2</cp:revision>
  <cp:lastPrinted>2021-09-23T10:35:00Z</cp:lastPrinted>
  <dcterms:created xsi:type="dcterms:W3CDTF">2021-11-01T08:34:00Z</dcterms:created>
  <dcterms:modified xsi:type="dcterms:W3CDTF">2021-11-01T08:34:00Z</dcterms:modified>
</cp:coreProperties>
</file>