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A835" w14:textId="59B00031" w:rsidR="001C7263" w:rsidRPr="00CF7A70" w:rsidRDefault="000917D9" w:rsidP="00142AA9">
      <w:pPr>
        <w:pStyle w:val="BodyText"/>
        <w:spacing w:before="160" w:line="276" w:lineRule="auto"/>
        <w:ind w:right="116"/>
        <w:jc w:val="center"/>
        <w:rPr>
          <w:b/>
          <w:bCs/>
          <w:sz w:val="22"/>
          <w:szCs w:val="22"/>
          <w:lang w:val="en-GB"/>
        </w:rPr>
      </w:pPr>
      <w:r w:rsidRPr="00CF7A70">
        <w:rPr>
          <w:b/>
          <w:bCs/>
          <w:sz w:val="22"/>
          <w:szCs w:val="22"/>
          <w:lang w:val="en-GB"/>
        </w:rPr>
        <w:t>Third Public Statement on Sustainable Finance in the UAE</w:t>
      </w:r>
    </w:p>
    <w:p w14:paraId="29808A50" w14:textId="7BD3EA94" w:rsidR="000917D9" w:rsidRPr="00CF7A70" w:rsidRDefault="00F628D5" w:rsidP="009466B2">
      <w:pPr>
        <w:pStyle w:val="BodyText"/>
        <w:spacing w:before="160" w:line="276" w:lineRule="auto"/>
        <w:ind w:right="116"/>
        <w:rPr>
          <w:lang w:val="en-GB"/>
        </w:rPr>
      </w:pPr>
      <w:r w:rsidRPr="00CF7A70">
        <w:rPr>
          <w:color w:val="1F1F1F"/>
          <w:shd w:val="clear" w:color="auto" w:fill="FFFFFF"/>
          <w:lang w:val="en-GB"/>
        </w:rPr>
        <w:t>The UAE is steadfastly committed to sustainable growth, as evidenced by its numerous national declarations, strategies, and international commitments. The UAE Green Agenda 2015-2030, National Climate Change Plan 2017-2050, Net Zero by 2050 Strategic Initiative, G20 participation, and COP28 hosting are all testaments to the nation's unwavering dedication to sustainability.</w:t>
      </w:r>
    </w:p>
    <w:p w14:paraId="143F6BAC" w14:textId="076C4A0E" w:rsidR="00C372DD" w:rsidRPr="002D224D" w:rsidRDefault="000917D9" w:rsidP="009466B2">
      <w:pPr>
        <w:pStyle w:val="BodyText"/>
        <w:spacing w:before="195" w:line="276" w:lineRule="auto"/>
        <w:ind w:right="120"/>
        <w:rPr>
          <w:lang w:val="en-GB"/>
        </w:rPr>
      </w:pPr>
      <w:r w:rsidRPr="00CF7A70">
        <w:rPr>
          <w:lang w:val="en-GB"/>
        </w:rPr>
        <w:t xml:space="preserve">To complement these efforts, the </w:t>
      </w:r>
      <w:r w:rsidR="00C76B93" w:rsidRPr="00CF7A70">
        <w:rPr>
          <w:lang w:val="en-GB"/>
        </w:rPr>
        <w:t xml:space="preserve">UAE </w:t>
      </w:r>
      <w:r w:rsidR="00E02DE2" w:rsidRPr="00CF7A70">
        <w:rPr>
          <w:lang w:val="en-GB"/>
        </w:rPr>
        <w:t xml:space="preserve">Sustainable </w:t>
      </w:r>
      <w:r w:rsidRPr="00CF7A70">
        <w:rPr>
          <w:lang w:val="en-GB"/>
        </w:rPr>
        <w:t>F</w:t>
      </w:r>
      <w:r w:rsidR="00E02DE2" w:rsidRPr="00CF7A70">
        <w:rPr>
          <w:lang w:val="en-GB"/>
        </w:rPr>
        <w:t xml:space="preserve">inance </w:t>
      </w:r>
      <w:r w:rsidRPr="00CF7A70">
        <w:rPr>
          <w:lang w:val="en-GB"/>
        </w:rPr>
        <w:t>W</w:t>
      </w:r>
      <w:r w:rsidR="00E02DE2" w:rsidRPr="00CF7A70">
        <w:rPr>
          <w:lang w:val="en-GB"/>
        </w:rPr>
        <w:t xml:space="preserve">orking </w:t>
      </w:r>
      <w:r w:rsidRPr="00CF7A70">
        <w:rPr>
          <w:lang w:val="en-GB"/>
        </w:rPr>
        <w:t>G</w:t>
      </w:r>
      <w:r w:rsidR="00E02DE2" w:rsidRPr="00CF7A70">
        <w:rPr>
          <w:lang w:val="en-GB"/>
        </w:rPr>
        <w:t>roup (SFWG)</w:t>
      </w:r>
      <w:r w:rsidRPr="00CF7A70">
        <w:rPr>
          <w:lang w:val="en-GB"/>
        </w:rPr>
        <w:t xml:space="preserve"> has been instrumental in steering </w:t>
      </w:r>
      <w:r w:rsidR="0070644A" w:rsidRPr="00CF7A70">
        <w:rPr>
          <w:lang w:val="en-GB"/>
        </w:rPr>
        <w:t xml:space="preserve">the development of </w:t>
      </w:r>
      <w:r w:rsidRPr="00CF7A70">
        <w:rPr>
          <w:lang w:val="en-GB"/>
        </w:rPr>
        <w:t xml:space="preserve">sustainable finance in the UAE, fostering regulatory cooperation among authorities, and aligning with the nation’s sustainability goals. </w:t>
      </w:r>
      <w:r w:rsidR="00C372DD" w:rsidRPr="00CF7A70">
        <w:rPr>
          <w:lang w:val="en-GB"/>
        </w:rPr>
        <w:t>The</w:t>
      </w:r>
      <w:r w:rsidR="00C372DD" w:rsidRPr="00CF7A70">
        <w:rPr>
          <w:spacing w:val="-1"/>
          <w:lang w:val="en-GB"/>
        </w:rPr>
        <w:t xml:space="preserve"> </w:t>
      </w:r>
      <w:r w:rsidR="009B2635" w:rsidRPr="00CF7A70">
        <w:rPr>
          <w:spacing w:val="-1"/>
          <w:lang w:val="en-GB"/>
        </w:rPr>
        <w:t>SFWG</w:t>
      </w:r>
      <w:r w:rsidR="00C372DD" w:rsidRPr="00CF7A70">
        <w:rPr>
          <w:spacing w:val="-1"/>
          <w:lang w:val="en-GB"/>
        </w:rPr>
        <w:t xml:space="preserve"> </w:t>
      </w:r>
      <w:r w:rsidR="00C372DD" w:rsidRPr="00CF7A70">
        <w:rPr>
          <w:lang w:val="en-GB"/>
        </w:rPr>
        <w:t xml:space="preserve">is </w:t>
      </w:r>
      <w:r w:rsidR="006A123F" w:rsidRPr="00CF7A70">
        <w:rPr>
          <w:lang w:val="en-GB"/>
        </w:rPr>
        <w:t>coordinated</w:t>
      </w:r>
      <w:r w:rsidR="00C372DD" w:rsidRPr="00CF7A70">
        <w:rPr>
          <w:spacing w:val="-1"/>
          <w:lang w:val="en-GB"/>
        </w:rPr>
        <w:t xml:space="preserve"> </w:t>
      </w:r>
      <w:r w:rsidR="00C372DD" w:rsidRPr="00CF7A70">
        <w:rPr>
          <w:lang w:val="en-GB"/>
        </w:rPr>
        <w:t>by</w:t>
      </w:r>
      <w:r w:rsidR="00C372DD" w:rsidRPr="00CF7A70">
        <w:rPr>
          <w:spacing w:val="-1"/>
          <w:lang w:val="en-GB"/>
        </w:rPr>
        <w:t xml:space="preserve"> </w:t>
      </w:r>
      <w:r w:rsidR="00C372DD" w:rsidRPr="00CF7A70">
        <w:rPr>
          <w:lang w:val="en-GB"/>
        </w:rPr>
        <w:t>the</w:t>
      </w:r>
      <w:r w:rsidR="00C372DD" w:rsidRPr="00CF7A70">
        <w:rPr>
          <w:spacing w:val="-2"/>
          <w:lang w:val="en-GB"/>
        </w:rPr>
        <w:t xml:space="preserve"> </w:t>
      </w:r>
      <w:r w:rsidR="00C372DD" w:rsidRPr="00CF7A70">
        <w:rPr>
          <w:lang w:val="en-GB"/>
        </w:rPr>
        <w:t>Financial</w:t>
      </w:r>
      <w:r w:rsidR="00C372DD" w:rsidRPr="00CF7A70">
        <w:rPr>
          <w:spacing w:val="-3"/>
          <w:lang w:val="en-GB"/>
        </w:rPr>
        <w:t xml:space="preserve"> </w:t>
      </w:r>
      <w:r w:rsidR="00C372DD" w:rsidRPr="00CF7A70">
        <w:rPr>
          <w:lang w:val="en-GB"/>
        </w:rPr>
        <w:t>Services</w:t>
      </w:r>
      <w:r w:rsidR="00C372DD" w:rsidRPr="00CF7A70">
        <w:rPr>
          <w:spacing w:val="-1"/>
          <w:lang w:val="en-GB"/>
        </w:rPr>
        <w:t xml:space="preserve"> </w:t>
      </w:r>
      <w:r w:rsidR="00C372DD" w:rsidRPr="00CF7A70">
        <w:rPr>
          <w:lang w:val="en-GB"/>
        </w:rPr>
        <w:t>Regulatory</w:t>
      </w:r>
      <w:r w:rsidR="00C372DD" w:rsidRPr="00CF7A70">
        <w:rPr>
          <w:spacing w:val="-1"/>
          <w:lang w:val="en-GB"/>
        </w:rPr>
        <w:t xml:space="preserve"> </w:t>
      </w:r>
      <w:r w:rsidR="00C372DD" w:rsidRPr="00CF7A70">
        <w:rPr>
          <w:lang w:val="en-GB"/>
        </w:rPr>
        <w:t>Authority</w:t>
      </w:r>
      <w:r w:rsidR="00C372DD" w:rsidRPr="00CF7A70">
        <w:rPr>
          <w:spacing w:val="-1"/>
          <w:lang w:val="en-GB"/>
        </w:rPr>
        <w:t xml:space="preserve"> </w:t>
      </w:r>
      <w:r w:rsidR="00C372DD" w:rsidRPr="00CF7A70">
        <w:rPr>
          <w:lang w:val="en-GB"/>
        </w:rPr>
        <w:t>of</w:t>
      </w:r>
      <w:r w:rsidR="00C372DD" w:rsidRPr="00CF7A70">
        <w:rPr>
          <w:spacing w:val="-2"/>
          <w:lang w:val="en-GB"/>
        </w:rPr>
        <w:t xml:space="preserve"> </w:t>
      </w:r>
      <w:r w:rsidR="00C372DD" w:rsidRPr="00CF7A70">
        <w:rPr>
          <w:lang w:val="en-GB"/>
        </w:rPr>
        <w:t>the Abu Dhabi Global Market</w:t>
      </w:r>
      <w:r w:rsidR="001C5577" w:rsidRPr="00CF7A70">
        <w:rPr>
          <w:lang w:val="en-GB"/>
        </w:rPr>
        <w:t xml:space="preserve"> and</w:t>
      </w:r>
      <w:r w:rsidR="00C372DD" w:rsidRPr="00CF7A70">
        <w:rPr>
          <w:lang w:val="en-GB"/>
        </w:rPr>
        <w:t xml:space="preserve"> </w:t>
      </w:r>
      <w:r w:rsidR="001C5577" w:rsidRPr="00CF7A70">
        <w:rPr>
          <w:lang w:val="en-GB"/>
        </w:rPr>
        <w:t>i</w:t>
      </w:r>
      <w:r w:rsidR="00C372DD" w:rsidRPr="00CF7A70">
        <w:rPr>
          <w:lang w:val="en-GB"/>
        </w:rPr>
        <w:t>ts</w:t>
      </w:r>
      <w:r w:rsidR="00C372DD" w:rsidRPr="002D224D">
        <w:rPr>
          <w:lang w:val="en-GB"/>
        </w:rPr>
        <w:t xml:space="preserve"> membership </w:t>
      </w:r>
      <w:r w:rsidR="00C842F9" w:rsidRPr="002D224D">
        <w:rPr>
          <w:lang w:val="en-GB"/>
        </w:rPr>
        <w:t>comprises</w:t>
      </w:r>
      <w:r w:rsidR="00775033" w:rsidRPr="002D224D">
        <w:rPr>
          <w:lang w:val="en-GB"/>
        </w:rPr>
        <w:t>:</w:t>
      </w:r>
    </w:p>
    <w:p w14:paraId="5409E445" w14:textId="77777777" w:rsidR="00EA1563" w:rsidRPr="002D224D" w:rsidRDefault="00EA1563" w:rsidP="00EA1563">
      <w:pPr>
        <w:pStyle w:val="ListParagraph"/>
        <w:numPr>
          <w:ilvl w:val="0"/>
          <w:numId w:val="1"/>
        </w:numPr>
        <w:tabs>
          <w:tab w:val="left" w:pos="460"/>
        </w:tabs>
        <w:spacing w:line="276" w:lineRule="auto"/>
        <w:rPr>
          <w:sz w:val="20"/>
          <w:lang w:val="en-GB"/>
        </w:rPr>
      </w:pPr>
      <w:r w:rsidRPr="002D224D">
        <w:rPr>
          <w:sz w:val="20"/>
          <w:lang w:val="en-GB"/>
        </w:rPr>
        <w:t>Central</w:t>
      </w:r>
      <w:r w:rsidRPr="002D224D">
        <w:rPr>
          <w:spacing w:val="-7"/>
          <w:sz w:val="20"/>
          <w:lang w:val="en-GB"/>
        </w:rPr>
        <w:t xml:space="preserve"> </w:t>
      </w:r>
      <w:r w:rsidRPr="002D224D">
        <w:rPr>
          <w:sz w:val="20"/>
          <w:lang w:val="en-GB"/>
        </w:rPr>
        <w:t>Bank</w:t>
      </w:r>
      <w:r w:rsidRPr="002D224D">
        <w:rPr>
          <w:spacing w:val="-5"/>
          <w:sz w:val="20"/>
          <w:lang w:val="en-GB"/>
        </w:rPr>
        <w:t xml:space="preserve"> </w:t>
      </w:r>
      <w:r w:rsidRPr="002D224D">
        <w:rPr>
          <w:sz w:val="20"/>
          <w:lang w:val="en-GB"/>
        </w:rPr>
        <w:t>of</w:t>
      </w:r>
      <w:r w:rsidRPr="002D224D">
        <w:rPr>
          <w:spacing w:val="-3"/>
          <w:sz w:val="20"/>
          <w:lang w:val="en-GB"/>
        </w:rPr>
        <w:t xml:space="preserve"> </w:t>
      </w:r>
      <w:r w:rsidRPr="002D224D">
        <w:rPr>
          <w:sz w:val="20"/>
          <w:lang w:val="en-GB"/>
        </w:rPr>
        <w:t>the</w:t>
      </w:r>
      <w:r w:rsidRPr="002D224D">
        <w:rPr>
          <w:spacing w:val="-3"/>
          <w:sz w:val="20"/>
          <w:lang w:val="en-GB"/>
        </w:rPr>
        <w:t xml:space="preserve"> </w:t>
      </w:r>
      <w:r w:rsidRPr="002D224D">
        <w:rPr>
          <w:spacing w:val="-5"/>
          <w:sz w:val="20"/>
          <w:lang w:val="en-GB"/>
        </w:rPr>
        <w:t>UAE (CBUAE)</w:t>
      </w:r>
    </w:p>
    <w:p w14:paraId="1A8719F6" w14:textId="77777777" w:rsidR="00EA1563" w:rsidRPr="002D224D" w:rsidRDefault="00EA1563" w:rsidP="00EA1563">
      <w:pPr>
        <w:pStyle w:val="ListParagraph"/>
        <w:numPr>
          <w:ilvl w:val="0"/>
          <w:numId w:val="1"/>
        </w:numPr>
        <w:tabs>
          <w:tab w:val="left" w:pos="460"/>
        </w:tabs>
        <w:spacing w:line="276" w:lineRule="auto"/>
        <w:rPr>
          <w:sz w:val="20"/>
          <w:lang w:val="en-GB"/>
        </w:rPr>
      </w:pPr>
      <w:r w:rsidRPr="002D224D">
        <w:rPr>
          <w:sz w:val="20"/>
          <w:lang w:val="en-GB"/>
        </w:rPr>
        <w:t>Securities</w:t>
      </w:r>
      <w:r w:rsidRPr="002D224D">
        <w:rPr>
          <w:spacing w:val="-9"/>
          <w:sz w:val="20"/>
          <w:lang w:val="en-GB"/>
        </w:rPr>
        <w:t xml:space="preserve"> </w:t>
      </w:r>
      <w:r w:rsidRPr="002D224D">
        <w:rPr>
          <w:sz w:val="20"/>
          <w:lang w:val="en-GB"/>
        </w:rPr>
        <w:t>and</w:t>
      </w:r>
      <w:r w:rsidRPr="002D224D">
        <w:rPr>
          <w:spacing w:val="-10"/>
          <w:sz w:val="20"/>
          <w:lang w:val="en-GB"/>
        </w:rPr>
        <w:t xml:space="preserve"> </w:t>
      </w:r>
      <w:r w:rsidRPr="002D224D">
        <w:rPr>
          <w:sz w:val="20"/>
          <w:lang w:val="en-GB"/>
        </w:rPr>
        <w:t>Commodities</w:t>
      </w:r>
      <w:r w:rsidRPr="002D224D">
        <w:rPr>
          <w:spacing w:val="-8"/>
          <w:sz w:val="20"/>
          <w:lang w:val="en-GB"/>
        </w:rPr>
        <w:t xml:space="preserve"> </w:t>
      </w:r>
      <w:r w:rsidRPr="002D224D">
        <w:rPr>
          <w:spacing w:val="-2"/>
          <w:sz w:val="20"/>
          <w:lang w:val="en-GB"/>
        </w:rPr>
        <w:t>Authority (SCA)</w:t>
      </w:r>
    </w:p>
    <w:p w14:paraId="6E2FA56D" w14:textId="77777777" w:rsidR="00EA1563" w:rsidRPr="002D224D" w:rsidRDefault="00EA1563" w:rsidP="00EA1563">
      <w:pPr>
        <w:pStyle w:val="ListParagraph"/>
        <w:numPr>
          <w:ilvl w:val="0"/>
          <w:numId w:val="1"/>
        </w:numPr>
        <w:tabs>
          <w:tab w:val="left" w:pos="460"/>
        </w:tabs>
        <w:spacing w:line="276" w:lineRule="auto"/>
        <w:rPr>
          <w:sz w:val="20"/>
          <w:lang w:val="en-GB"/>
        </w:rPr>
      </w:pPr>
      <w:r w:rsidRPr="002D224D">
        <w:rPr>
          <w:sz w:val="20"/>
          <w:lang w:val="en-GB"/>
        </w:rPr>
        <w:t>Financial</w:t>
      </w:r>
      <w:r w:rsidRPr="002D224D">
        <w:rPr>
          <w:spacing w:val="-9"/>
          <w:sz w:val="20"/>
          <w:lang w:val="en-GB"/>
        </w:rPr>
        <w:t xml:space="preserve"> </w:t>
      </w:r>
      <w:r w:rsidRPr="002D224D">
        <w:rPr>
          <w:sz w:val="20"/>
          <w:lang w:val="en-GB"/>
        </w:rPr>
        <w:t>Services</w:t>
      </w:r>
      <w:r w:rsidRPr="002D224D">
        <w:rPr>
          <w:spacing w:val="-7"/>
          <w:sz w:val="20"/>
          <w:lang w:val="en-GB"/>
        </w:rPr>
        <w:t xml:space="preserve"> </w:t>
      </w:r>
      <w:r w:rsidRPr="002D224D">
        <w:rPr>
          <w:sz w:val="20"/>
          <w:lang w:val="en-GB"/>
        </w:rPr>
        <w:t>Regulatory</w:t>
      </w:r>
      <w:r w:rsidRPr="002D224D">
        <w:rPr>
          <w:spacing w:val="-6"/>
          <w:sz w:val="20"/>
          <w:lang w:val="en-GB"/>
        </w:rPr>
        <w:t xml:space="preserve"> </w:t>
      </w:r>
      <w:r w:rsidRPr="002D224D">
        <w:rPr>
          <w:sz w:val="20"/>
          <w:lang w:val="en-GB"/>
        </w:rPr>
        <w:t>Authority</w:t>
      </w:r>
      <w:r w:rsidRPr="002D224D">
        <w:rPr>
          <w:spacing w:val="-6"/>
          <w:sz w:val="20"/>
          <w:lang w:val="en-GB"/>
        </w:rPr>
        <w:t xml:space="preserve"> </w:t>
      </w:r>
      <w:r w:rsidRPr="002D224D">
        <w:rPr>
          <w:sz w:val="20"/>
          <w:lang w:val="en-GB"/>
        </w:rPr>
        <w:t>of</w:t>
      </w:r>
      <w:r w:rsidRPr="002D224D">
        <w:rPr>
          <w:spacing w:val="-6"/>
          <w:sz w:val="20"/>
          <w:lang w:val="en-GB"/>
        </w:rPr>
        <w:t xml:space="preserve"> </w:t>
      </w:r>
      <w:r w:rsidRPr="002D224D">
        <w:rPr>
          <w:sz w:val="20"/>
          <w:lang w:val="en-GB"/>
        </w:rPr>
        <w:t>the</w:t>
      </w:r>
      <w:r w:rsidRPr="002D224D">
        <w:rPr>
          <w:spacing w:val="-6"/>
          <w:sz w:val="20"/>
          <w:lang w:val="en-GB"/>
        </w:rPr>
        <w:t xml:space="preserve"> </w:t>
      </w:r>
      <w:r w:rsidRPr="002D224D">
        <w:rPr>
          <w:sz w:val="20"/>
          <w:lang w:val="en-GB"/>
        </w:rPr>
        <w:t>Abu</w:t>
      </w:r>
      <w:r w:rsidRPr="002D224D">
        <w:rPr>
          <w:spacing w:val="-9"/>
          <w:sz w:val="20"/>
          <w:lang w:val="en-GB"/>
        </w:rPr>
        <w:t xml:space="preserve"> </w:t>
      </w:r>
      <w:r w:rsidRPr="002D224D">
        <w:rPr>
          <w:sz w:val="20"/>
          <w:lang w:val="en-GB"/>
        </w:rPr>
        <w:t>Dhabi</w:t>
      </w:r>
      <w:r w:rsidRPr="002D224D">
        <w:rPr>
          <w:spacing w:val="-8"/>
          <w:sz w:val="20"/>
          <w:lang w:val="en-GB"/>
        </w:rPr>
        <w:t xml:space="preserve"> </w:t>
      </w:r>
      <w:r w:rsidRPr="002D224D">
        <w:rPr>
          <w:sz w:val="20"/>
          <w:lang w:val="en-GB"/>
        </w:rPr>
        <w:t>Global</w:t>
      </w:r>
      <w:r w:rsidRPr="002D224D">
        <w:rPr>
          <w:spacing w:val="-7"/>
          <w:sz w:val="20"/>
          <w:lang w:val="en-GB"/>
        </w:rPr>
        <w:t xml:space="preserve"> </w:t>
      </w:r>
      <w:r w:rsidRPr="002D224D">
        <w:rPr>
          <w:spacing w:val="-2"/>
          <w:sz w:val="20"/>
          <w:lang w:val="en-GB"/>
        </w:rPr>
        <w:t>Market</w:t>
      </w:r>
    </w:p>
    <w:p w14:paraId="34EA2D66" w14:textId="77777777" w:rsidR="00EA1563" w:rsidRPr="002D224D" w:rsidRDefault="00EA1563" w:rsidP="00EA1563">
      <w:pPr>
        <w:pStyle w:val="ListParagraph"/>
        <w:numPr>
          <w:ilvl w:val="0"/>
          <w:numId w:val="1"/>
        </w:numPr>
        <w:tabs>
          <w:tab w:val="left" w:pos="460"/>
        </w:tabs>
        <w:spacing w:before="16" w:line="276" w:lineRule="auto"/>
        <w:rPr>
          <w:sz w:val="20"/>
          <w:lang w:val="en-GB"/>
        </w:rPr>
      </w:pPr>
      <w:r w:rsidRPr="002D224D">
        <w:rPr>
          <w:sz w:val="20"/>
          <w:lang w:val="en-GB"/>
        </w:rPr>
        <w:t>Dubai</w:t>
      </w:r>
      <w:r w:rsidRPr="002D224D">
        <w:rPr>
          <w:spacing w:val="-11"/>
          <w:sz w:val="20"/>
          <w:lang w:val="en-GB"/>
        </w:rPr>
        <w:t xml:space="preserve"> </w:t>
      </w:r>
      <w:r w:rsidRPr="002D224D">
        <w:rPr>
          <w:sz w:val="20"/>
          <w:lang w:val="en-GB"/>
        </w:rPr>
        <w:t>Financial</w:t>
      </w:r>
      <w:r w:rsidRPr="002D224D">
        <w:rPr>
          <w:spacing w:val="-8"/>
          <w:sz w:val="20"/>
          <w:lang w:val="en-GB"/>
        </w:rPr>
        <w:t xml:space="preserve"> </w:t>
      </w:r>
      <w:r w:rsidRPr="002D224D">
        <w:rPr>
          <w:sz w:val="20"/>
          <w:lang w:val="en-GB"/>
        </w:rPr>
        <w:t>Services</w:t>
      </w:r>
      <w:r w:rsidRPr="002D224D">
        <w:rPr>
          <w:spacing w:val="-8"/>
          <w:sz w:val="20"/>
          <w:lang w:val="en-GB"/>
        </w:rPr>
        <w:t xml:space="preserve"> </w:t>
      </w:r>
      <w:r w:rsidRPr="002D224D">
        <w:rPr>
          <w:spacing w:val="-2"/>
          <w:sz w:val="20"/>
          <w:lang w:val="en-GB"/>
        </w:rPr>
        <w:t>Authority</w:t>
      </w:r>
    </w:p>
    <w:p w14:paraId="440C6C74" w14:textId="3F9ED30A" w:rsidR="00CA0757" w:rsidRPr="002D224D" w:rsidRDefault="00CA0757" w:rsidP="009466B2">
      <w:pPr>
        <w:pStyle w:val="ListParagraph"/>
        <w:numPr>
          <w:ilvl w:val="0"/>
          <w:numId w:val="1"/>
        </w:numPr>
        <w:tabs>
          <w:tab w:val="left" w:pos="460"/>
        </w:tabs>
        <w:spacing w:before="179" w:line="276" w:lineRule="auto"/>
        <w:rPr>
          <w:sz w:val="20"/>
          <w:lang w:val="en-GB"/>
        </w:rPr>
      </w:pPr>
      <w:r w:rsidRPr="002D224D">
        <w:rPr>
          <w:sz w:val="20"/>
          <w:lang w:val="en-GB"/>
        </w:rPr>
        <w:t>Ministry</w:t>
      </w:r>
      <w:r w:rsidRPr="002D224D">
        <w:rPr>
          <w:spacing w:val="-6"/>
          <w:sz w:val="20"/>
          <w:lang w:val="en-GB"/>
        </w:rPr>
        <w:t xml:space="preserve"> </w:t>
      </w:r>
      <w:r w:rsidRPr="002D224D">
        <w:rPr>
          <w:sz w:val="20"/>
          <w:lang w:val="en-GB"/>
        </w:rPr>
        <w:t>of</w:t>
      </w:r>
      <w:r w:rsidRPr="002D224D">
        <w:rPr>
          <w:spacing w:val="-6"/>
          <w:sz w:val="20"/>
          <w:lang w:val="en-GB"/>
        </w:rPr>
        <w:t xml:space="preserve"> </w:t>
      </w:r>
      <w:r w:rsidRPr="002D224D">
        <w:rPr>
          <w:sz w:val="20"/>
          <w:lang w:val="en-GB"/>
        </w:rPr>
        <w:t>Finance</w:t>
      </w:r>
      <w:r w:rsidRPr="002D224D">
        <w:rPr>
          <w:spacing w:val="-4"/>
          <w:sz w:val="20"/>
          <w:lang w:val="en-GB"/>
        </w:rPr>
        <w:t xml:space="preserve"> </w:t>
      </w:r>
      <w:r w:rsidRPr="002D224D">
        <w:rPr>
          <w:sz w:val="20"/>
          <w:lang w:val="en-GB"/>
        </w:rPr>
        <w:t>of</w:t>
      </w:r>
      <w:r w:rsidRPr="002D224D">
        <w:rPr>
          <w:spacing w:val="-6"/>
          <w:sz w:val="20"/>
          <w:lang w:val="en-GB"/>
        </w:rPr>
        <w:t xml:space="preserve"> </w:t>
      </w:r>
      <w:r w:rsidRPr="002D224D">
        <w:rPr>
          <w:sz w:val="20"/>
          <w:lang w:val="en-GB"/>
        </w:rPr>
        <w:t>the</w:t>
      </w:r>
      <w:r w:rsidRPr="002D224D">
        <w:rPr>
          <w:spacing w:val="-7"/>
          <w:sz w:val="20"/>
          <w:lang w:val="en-GB"/>
        </w:rPr>
        <w:t xml:space="preserve"> </w:t>
      </w:r>
      <w:r w:rsidRPr="002D224D">
        <w:rPr>
          <w:spacing w:val="-5"/>
          <w:sz w:val="20"/>
          <w:lang w:val="en-GB"/>
        </w:rPr>
        <w:t>UAE</w:t>
      </w:r>
      <w:r w:rsidR="00A90C2C" w:rsidRPr="002D224D">
        <w:rPr>
          <w:spacing w:val="-5"/>
          <w:sz w:val="20"/>
          <w:lang w:val="en-GB"/>
        </w:rPr>
        <w:t xml:space="preserve"> (MoF)</w:t>
      </w:r>
    </w:p>
    <w:p w14:paraId="2BA968D8" w14:textId="77777777" w:rsidR="00CA0757" w:rsidRPr="002D224D" w:rsidRDefault="00CA0757" w:rsidP="009466B2">
      <w:pPr>
        <w:pStyle w:val="ListParagraph"/>
        <w:numPr>
          <w:ilvl w:val="0"/>
          <w:numId w:val="1"/>
        </w:numPr>
        <w:tabs>
          <w:tab w:val="left" w:pos="460"/>
        </w:tabs>
        <w:spacing w:line="276" w:lineRule="auto"/>
        <w:rPr>
          <w:sz w:val="20"/>
          <w:lang w:val="en-GB"/>
        </w:rPr>
      </w:pPr>
      <w:r w:rsidRPr="002D224D">
        <w:rPr>
          <w:sz w:val="20"/>
          <w:lang w:val="en-GB"/>
        </w:rPr>
        <w:t>Ministry</w:t>
      </w:r>
      <w:r w:rsidRPr="002D224D">
        <w:rPr>
          <w:spacing w:val="-5"/>
          <w:sz w:val="20"/>
          <w:lang w:val="en-GB"/>
        </w:rPr>
        <w:t xml:space="preserve"> </w:t>
      </w:r>
      <w:r w:rsidRPr="002D224D">
        <w:rPr>
          <w:sz w:val="20"/>
          <w:lang w:val="en-GB"/>
        </w:rPr>
        <w:t>of</w:t>
      </w:r>
      <w:r w:rsidRPr="002D224D">
        <w:rPr>
          <w:spacing w:val="-6"/>
          <w:sz w:val="20"/>
          <w:lang w:val="en-GB"/>
        </w:rPr>
        <w:t xml:space="preserve"> </w:t>
      </w:r>
      <w:r w:rsidRPr="002D224D">
        <w:rPr>
          <w:sz w:val="20"/>
          <w:lang w:val="en-GB"/>
        </w:rPr>
        <w:t>Economy</w:t>
      </w:r>
      <w:r w:rsidRPr="002D224D">
        <w:rPr>
          <w:spacing w:val="-5"/>
          <w:sz w:val="20"/>
          <w:lang w:val="en-GB"/>
        </w:rPr>
        <w:t xml:space="preserve"> </w:t>
      </w:r>
      <w:r w:rsidRPr="002D224D">
        <w:rPr>
          <w:sz w:val="20"/>
          <w:lang w:val="en-GB"/>
        </w:rPr>
        <w:t>of</w:t>
      </w:r>
      <w:r w:rsidRPr="002D224D">
        <w:rPr>
          <w:spacing w:val="-5"/>
          <w:sz w:val="20"/>
          <w:lang w:val="en-GB"/>
        </w:rPr>
        <w:t xml:space="preserve"> </w:t>
      </w:r>
      <w:r w:rsidRPr="002D224D">
        <w:rPr>
          <w:sz w:val="20"/>
          <w:lang w:val="en-GB"/>
        </w:rPr>
        <w:t>the</w:t>
      </w:r>
      <w:r w:rsidRPr="002D224D">
        <w:rPr>
          <w:spacing w:val="-5"/>
          <w:sz w:val="20"/>
          <w:lang w:val="en-GB"/>
        </w:rPr>
        <w:t xml:space="preserve"> UAE</w:t>
      </w:r>
    </w:p>
    <w:p w14:paraId="1D2803FB" w14:textId="77777777" w:rsidR="00CA0757" w:rsidRPr="002D224D" w:rsidRDefault="00CA0757" w:rsidP="009466B2">
      <w:pPr>
        <w:pStyle w:val="ListParagraph"/>
        <w:numPr>
          <w:ilvl w:val="0"/>
          <w:numId w:val="1"/>
        </w:numPr>
        <w:tabs>
          <w:tab w:val="left" w:pos="460"/>
        </w:tabs>
        <w:spacing w:before="16" w:line="276" w:lineRule="auto"/>
        <w:rPr>
          <w:sz w:val="20"/>
          <w:lang w:val="en-GB"/>
        </w:rPr>
      </w:pPr>
      <w:r w:rsidRPr="002D224D">
        <w:rPr>
          <w:sz w:val="20"/>
          <w:lang w:val="en-GB"/>
        </w:rPr>
        <w:t>Ministry</w:t>
      </w:r>
      <w:r w:rsidRPr="002D224D">
        <w:rPr>
          <w:spacing w:val="-7"/>
          <w:sz w:val="20"/>
          <w:lang w:val="en-GB"/>
        </w:rPr>
        <w:t xml:space="preserve"> </w:t>
      </w:r>
      <w:r w:rsidRPr="002D224D">
        <w:rPr>
          <w:sz w:val="20"/>
          <w:lang w:val="en-GB"/>
        </w:rPr>
        <w:t>of</w:t>
      </w:r>
      <w:r w:rsidRPr="002D224D">
        <w:rPr>
          <w:spacing w:val="-8"/>
          <w:sz w:val="20"/>
          <w:lang w:val="en-GB"/>
        </w:rPr>
        <w:t xml:space="preserve"> </w:t>
      </w:r>
      <w:r w:rsidRPr="002D224D">
        <w:rPr>
          <w:sz w:val="20"/>
          <w:lang w:val="en-GB"/>
        </w:rPr>
        <w:t>Climate</w:t>
      </w:r>
      <w:r w:rsidRPr="002D224D">
        <w:rPr>
          <w:spacing w:val="-6"/>
          <w:sz w:val="20"/>
          <w:lang w:val="en-GB"/>
        </w:rPr>
        <w:t xml:space="preserve"> </w:t>
      </w:r>
      <w:r w:rsidRPr="002D224D">
        <w:rPr>
          <w:sz w:val="20"/>
          <w:lang w:val="en-GB"/>
        </w:rPr>
        <w:t>Change</w:t>
      </w:r>
      <w:r w:rsidRPr="002D224D">
        <w:rPr>
          <w:spacing w:val="-6"/>
          <w:sz w:val="20"/>
          <w:lang w:val="en-GB"/>
        </w:rPr>
        <w:t xml:space="preserve"> </w:t>
      </w:r>
      <w:r w:rsidRPr="002D224D">
        <w:rPr>
          <w:sz w:val="20"/>
          <w:lang w:val="en-GB"/>
        </w:rPr>
        <w:t>and</w:t>
      </w:r>
      <w:r w:rsidRPr="002D224D">
        <w:rPr>
          <w:spacing w:val="-6"/>
          <w:sz w:val="20"/>
          <w:lang w:val="en-GB"/>
        </w:rPr>
        <w:t xml:space="preserve"> </w:t>
      </w:r>
      <w:r w:rsidRPr="002D224D">
        <w:rPr>
          <w:sz w:val="20"/>
          <w:lang w:val="en-GB"/>
        </w:rPr>
        <w:t>Environment</w:t>
      </w:r>
      <w:r w:rsidRPr="002D224D">
        <w:rPr>
          <w:spacing w:val="-6"/>
          <w:sz w:val="20"/>
          <w:lang w:val="en-GB"/>
        </w:rPr>
        <w:t xml:space="preserve"> </w:t>
      </w:r>
      <w:r w:rsidRPr="002D224D">
        <w:rPr>
          <w:sz w:val="20"/>
          <w:lang w:val="en-GB"/>
        </w:rPr>
        <w:t>of</w:t>
      </w:r>
      <w:r w:rsidRPr="002D224D">
        <w:rPr>
          <w:spacing w:val="-7"/>
          <w:sz w:val="20"/>
          <w:lang w:val="en-GB"/>
        </w:rPr>
        <w:t xml:space="preserve"> </w:t>
      </w:r>
      <w:r w:rsidRPr="002D224D">
        <w:rPr>
          <w:sz w:val="20"/>
          <w:lang w:val="en-GB"/>
        </w:rPr>
        <w:t>the</w:t>
      </w:r>
      <w:r w:rsidRPr="002D224D">
        <w:rPr>
          <w:spacing w:val="-9"/>
          <w:sz w:val="20"/>
          <w:lang w:val="en-GB"/>
        </w:rPr>
        <w:t xml:space="preserve"> </w:t>
      </w:r>
      <w:r w:rsidRPr="002D224D">
        <w:rPr>
          <w:spacing w:val="-5"/>
          <w:sz w:val="20"/>
          <w:lang w:val="en-GB"/>
        </w:rPr>
        <w:t>UAE</w:t>
      </w:r>
    </w:p>
    <w:p w14:paraId="27C7F7EC" w14:textId="77777777" w:rsidR="00EA1563" w:rsidRPr="002D224D" w:rsidRDefault="00EA1563" w:rsidP="00EA1563">
      <w:pPr>
        <w:pStyle w:val="ListParagraph"/>
        <w:numPr>
          <w:ilvl w:val="0"/>
          <w:numId w:val="1"/>
        </w:numPr>
        <w:tabs>
          <w:tab w:val="left" w:pos="460"/>
        </w:tabs>
        <w:spacing w:before="16" w:line="276" w:lineRule="auto"/>
        <w:rPr>
          <w:sz w:val="20"/>
          <w:lang w:val="en-GB"/>
        </w:rPr>
      </w:pPr>
      <w:r w:rsidRPr="002D224D">
        <w:rPr>
          <w:sz w:val="20"/>
          <w:lang w:val="en-GB"/>
        </w:rPr>
        <w:t>Office</w:t>
      </w:r>
      <w:r w:rsidRPr="002D224D">
        <w:rPr>
          <w:spacing w:val="-8"/>
          <w:sz w:val="20"/>
          <w:lang w:val="en-GB"/>
        </w:rPr>
        <w:t xml:space="preserve"> </w:t>
      </w:r>
      <w:r w:rsidRPr="002D224D">
        <w:rPr>
          <w:sz w:val="20"/>
          <w:lang w:val="en-GB"/>
        </w:rPr>
        <w:t>of</w:t>
      </w:r>
      <w:r w:rsidRPr="002D224D">
        <w:rPr>
          <w:spacing w:val="-5"/>
          <w:sz w:val="20"/>
          <w:lang w:val="en-GB"/>
        </w:rPr>
        <w:t xml:space="preserve"> </w:t>
      </w:r>
      <w:r w:rsidRPr="002D224D">
        <w:rPr>
          <w:sz w:val="20"/>
          <w:lang w:val="en-GB"/>
        </w:rPr>
        <w:t>the</w:t>
      </w:r>
      <w:r w:rsidRPr="002D224D">
        <w:rPr>
          <w:spacing w:val="-6"/>
          <w:sz w:val="20"/>
          <w:lang w:val="en-GB"/>
        </w:rPr>
        <w:t xml:space="preserve"> </w:t>
      </w:r>
      <w:r w:rsidRPr="002D224D">
        <w:rPr>
          <w:sz w:val="20"/>
          <w:lang w:val="en-GB"/>
        </w:rPr>
        <w:t>UAE’s</w:t>
      </w:r>
      <w:r w:rsidRPr="002D224D">
        <w:rPr>
          <w:spacing w:val="-5"/>
          <w:sz w:val="20"/>
          <w:lang w:val="en-GB"/>
        </w:rPr>
        <w:t xml:space="preserve"> </w:t>
      </w:r>
      <w:r w:rsidRPr="002D224D">
        <w:rPr>
          <w:sz w:val="20"/>
          <w:lang w:val="en-GB"/>
        </w:rPr>
        <w:t>Special</w:t>
      </w:r>
      <w:r w:rsidRPr="002D224D">
        <w:rPr>
          <w:spacing w:val="-6"/>
          <w:sz w:val="20"/>
          <w:lang w:val="en-GB"/>
        </w:rPr>
        <w:t xml:space="preserve"> </w:t>
      </w:r>
      <w:r w:rsidRPr="002D224D">
        <w:rPr>
          <w:sz w:val="20"/>
          <w:lang w:val="en-GB"/>
        </w:rPr>
        <w:t>Envoy</w:t>
      </w:r>
      <w:r w:rsidRPr="002D224D">
        <w:rPr>
          <w:spacing w:val="-6"/>
          <w:sz w:val="20"/>
          <w:lang w:val="en-GB"/>
        </w:rPr>
        <w:t xml:space="preserve"> </w:t>
      </w:r>
      <w:r w:rsidRPr="002D224D">
        <w:rPr>
          <w:sz w:val="20"/>
          <w:lang w:val="en-GB"/>
        </w:rPr>
        <w:t>for</w:t>
      </w:r>
      <w:r w:rsidRPr="002D224D">
        <w:rPr>
          <w:spacing w:val="-5"/>
          <w:sz w:val="20"/>
          <w:lang w:val="en-GB"/>
        </w:rPr>
        <w:t xml:space="preserve"> </w:t>
      </w:r>
      <w:r w:rsidRPr="002D224D">
        <w:rPr>
          <w:sz w:val="20"/>
          <w:lang w:val="en-GB"/>
        </w:rPr>
        <w:t>Climate</w:t>
      </w:r>
      <w:r w:rsidRPr="002D224D">
        <w:rPr>
          <w:spacing w:val="-7"/>
          <w:sz w:val="20"/>
          <w:lang w:val="en-GB"/>
        </w:rPr>
        <w:t xml:space="preserve"> </w:t>
      </w:r>
      <w:r w:rsidRPr="002D224D">
        <w:rPr>
          <w:spacing w:val="-2"/>
          <w:sz w:val="20"/>
          <w:lang w:val="en-GB"/>
        </w:rPr>
        <w:t>Change</w:t>
      </w:r>
    </w:p>
    <w:p w14:paraId="30FF0788" w14:textId="77777777" w:rsidR="00CA0757" w:rsidRPr="002D224D" w:rsidRDefault="00CA0757" w:rsidP="009466B2">
      <w:pPr>
        <w:pStyle w:val="ListParagraph"/>
        <w:numPr>
          <w:ilvl w:val="0"/>
          <w:numId w:val="1"/>
        </w:numPr>
        <w:tabs>
          <w:tab w:val="left" w:pos="460"/>
        </w:tabs>
        <w:spacing w:line="276" w:lineRule="auto"/>
        <w:rPr>
          <w:sz w:val="20"/>
          <w:lang w:val="en-GB"/>
        </w:rPr>
      </w:pPr>
      <w:r w:rsidRPr="002D224D">
        <w:rPr>
          <w:sz w:val="20"/>
          <w:lang w:val="en-GB"/>
        </w:rPr>
        <w:t>Abu</w:t>
      </w:r>
      <w:r w:rsidRPr="002D224D">
        <w:rPr>
          <w:spacing w:val="-8"/>
          <w:sz w:val="20"/>
          <w:lang w:val="en-GB"/>
        </w:rPr>
        <w:t xml:space="preserve"> </w:t>
      </w:r>
      <w:r w:rsidRPr="002D224D">
        <w:rPr>
          <w:sz w:val="20"/>
          <w:lang w:val="en-GB"/>
        </w:rPr>
        <w:t>Dhabi</w:t>
      </w:r>
      <w:r w:rsidRPr="002D224D">
        <w:rPr>
          <w:spacing w:val="-8"/>
          <w:sz w:val="20"/>
          <w:lang w:val="en-GB"/>
        </w:rPr>
        <w:t xml:space="preserve"> </w:t>
      </w:r>
      <w:r w:rsidRPr="002D224D">
        <w:rPr>
          <w:sz w:val="20"/>
          <w:lang w:val="en-GB"/>
        </w:rPr>
        <w:t>Securities</w:t>
      </w:r>
      <w:r w:rsidRPr="002D224D">
        <w:rPr>
          <w:spacing w:val="-8"/>
          <w:sz w:val="20"/>
          <w:lang w:val="en-GB"/>
        </w:rPr>
        <w:t xml:space="preserve"> </w:t>
      </w:r>
      <w:r w:rsidRPr="002D224D">
        <w:rPr>
          <w:spacing w:val="-2"/>
          <w:sz w:val="20"/>
          <w:lang w:val="en-GB"/>
        </w:rPr>
        <w:t>Exchange</w:t>
      </w:r>
    </w:p>
    <w:p w14:paraId="42D0AE1E" w14:textId="77777777" w:rsidR="00CA0757" w:rsidRPr="002D224D" w:rsidRDefault="00CA0757" w:rsidP="009466B2">
      <w:pPr>
        <w:pStyle w:val="ListParagraph"/>
        <w:numPr>
          <w:ilvl w:val="0"/>
          <w:numId w:val="1"/>
        </w:numPr>
        <w:tabs>
          <w:tab w:val="left" w:pos="460"/>
        </w:tabs>
        <w:spacing w:before="16" w:line="276" w:lineRule="auto"/>
        <w:rPr>
          <w:sz w:val="20"/>
          <w:lang w:val="en-GB"/>
        </w:rPr>
      </w:pPr>
      <w:r w:rsidRPr="002D224D">
        <w:rPr>
          <w:sz w:val="20"/>
          <w:lang w:val="en-GB"/>
        </w:rPr>
        <w:t>Dubai</w:t>
      </w:r>
      <w:r w:rsidRPr="002D224D">
        <w:rPr>
          <w:spacing w:val="-11"/>
          <w:sz w:val="20"/>
          <w:lang w:val="en-GB"/>
        </w:rPr>
        <w:t xml:space="preserve"> </w:t>
      </w:r>
      <w:r w:rsidRPr="002D224D">
        <w:rPr>
          <w:sz w:val="20"/>
          <w:lang w:val="en-GB"/>
        </w:rPr>
        <w:t>Financial</w:t>
      </w:r>
      <w:r w:rsidRPr="002D224D">
        <w:rPr>
          <w:spacing w:val="-9"/>
          <w:sz w:val="20"/>
          <w:lang w:val="en-GB"/>
        </w:rPr>
        <w:t xml:space="preserve"> </w:t>
      </w:r>
      <w:r w:rsidRPr="002D224D">
        <w:rPr>
          <w:spacing w:val="-2"/>
          <w:sz w:val="20"/>
          <w:lang w:val="en-GB"/>
        </w:rPr>
        <w:t>Market</w:t>
      </w:r>
    </w:p>
    <w:p w14:paraId="0AD40329" w14:textId="66BA7BC0" w:rsidR="00775033" w:rsidRPr="002D224D" w:rsidRDefault="00CA0757" w:rsidP="009466B2">
      <w:pPr>
        <w:pStyle w:val="ListParagraph"/>
        <w:numPr>
          <w:ilvl w:val="0"/>
          <w:numId w:val="1"/>
        </w:numPr>
        <w:tabs>
          <w:tab w:val="left" w:pos="460"/>
        </w:tabs>
        <w:spacing w:before="16" w:line="276" w:lineRule="auto"/>
        <w:rPr>
          <w:sz w:val="20"/>
          <w:lang w:val="en-GB"/>
        </w:rPr>
      </w:pPr>
      <w:r w:rsidRPr="002D224D">
        <w:rPr>
          <w:sz w:val="20"/>
          <w:lang w:val="en-GB"/>
        </w:rPr>
        <w:t>Nasdaq Dubai</w:t>
      </w:r>
      <w:r w:rsidR="00A53F7F">
        <w:rPr>
          <w:sz w:val="20"/>
          <w:lang w:val="en-GB"/>
        </w:rPr>
        <w:t>.</w:t>
      </w:r>
    </w:p>
    <w:p w14:paraId="4CBC9885" w14:textId="25154644" w:rsidR="00FA4376" w:rsidRPr="002D224D" w:rsidRDefault="000917D9" w:rsidP="009466B2">
      <w:pPr>
        <w:pStyle w:val="BodyText"/>
        <w:spacing w:before="160" w:line="276" w:lineRule="auto"/>
        <w:ind w:right="116"/>
        <w:rPr>
          <w:color w:val="1F1F1F"/>
          <w:shd w:val="clear" w:color="auto" w:fill="FFFFFF"/>
          <w:lang w:val="en-GB"/>
        </w:rPr>
      </w:pPr>
      <w:r w:rsidRPr="002D224D">
        <w:rPr>
          <w:lang w:val="en-GB"/>
        </w:rPr>
        <w:t>The foundational work began in 2019 with the introduction of the "</w:t>
      </w:r>
      <w:hyperlink r:id="rId8" w:history="1">
        <w:r w:rsidRPr="002D224D">
          <w:rPr>
            <w:rStyle w:val="Hyperlink"/>
            <w:lang w:val="en-GB"/>
          </w:rPr>
          <w:t>Guiding Principles on Sustainable Finance in the UAE</w:t>
        </w:r>
      </w:hyperlink>
      <w:r w:rsidRPr="002D224D">
        <w:rPr>
          <w:lang w:val="en-GB"/>
        </w:rPr>
        <w:t xml:space="preserve">" followed by the </w:t>
      </w:r>
      <w:hyperlink r:id="rId9" w:history="1">
        <w:r w:rsidRPr="002D224D">
          <w:rPr>
            <w:rStyle w:val="Hyperlink"/>
            <w:lang w:val="en-GB"/>
          </w:rPr>
          <w:t>2021</w:t>
        </w:r>
      </w:hyperlink>
      <w:r w:rsidR="0019755F" w:rsidRPr="002D224D">
        <w:rPr>
          <w:lang w:val="en-GB"/>
        </w:rPr>
        <w:t xml:space="preserve"> and </w:t>
      </w:r>
      <w:hyperlink r:id="rId10" w:history="1">
        <w:r w:rsidR="0019755F" w:rsidRPr="002D224D">
          <w:rPr>
            <w:rStyle w:val="Hyperlink"/>
            <w:lang w:val="en-GB"/>
          </w:rPr>
          <w:t>2022</w:t>
        </w:r>
      </w:hyperlink>
      <w:r w:rsidRPr="002D224D">
        <w:rPr>
          <w:lang w:val="en-GB"/>
        </w:rPr>
        <w:t xml:space="preserve"> Public Statement</w:t>
      </w:r>
      <w:r w:rsidR="0019755F" w:rsidRPr="002D224D">
        <w:rPr>
          <w:lang w:val="en-GB"/>
        </w:rPr>
        <w:t>s</w:t>
      </w:r>
      <w:r w:rsidR="0049702B" w:rsidRPr="002D224D">
        <w:rPr>
          <w:lang w:val="en-GB"/>
        </w:rPr>
        <w:t>,</w:t>
      </w:r>
      <w:r w:rsidR="009E008C" w:rsidRPr="002D224D">
        <w:rPr>
          <w:lang w:val="en-GB"/>
        </w:rPr>
        <w:t xml:space="preserve"> </w:t>
      </w:r>
      <w:r w:rsidR="0049702B" w:rsidRPr="002D224D">
        <w:rPr>
          <w:lang w:val="en-GB"/>
        </w:rPr>
        <w:t>which</w:t>
      </w:r>
      <w:r w:rsidRPr="002D224D">
        <w:rPr>
          <w:lang w:val="en-GB"/>
        </w:rPr>
        <w:t xml:space="preserve"> identif</w:t>
      </w:r>
      <w:r w:rsidR="009E008C" w:rsidRPr="002D224D">
        <w:rPr>
          <w:lang w:val="en-GB"/>
        </w:rPr>
        <w:t>ied</w:t>
      </w:r>
      <w:r w:rsidRPr="002D224D">
        <w:rPr>
          <w:lang w:val="en-GB"/>
        </w:rPr>
        <w:t xml:space="preserve"> three pivotal areas in sustainable finance</w:t>
      </w:r>
      <w:r w:rsidR="005F1171" w:rsidRPr="002D224D">
        <w:rPr>
          <w:lang w:val="en-GB"/>
        </w:rPr>
        <w:t xml:space="preserve"> and </w:t>
      </w:r>
      <w:r w:rsidR="00B41292" w:rsidRPr="002D224D">
        <w:rPr>
          <w:lang w:val="en-GB"/>
        </w:rPr>
        <w:t>assign</w:t>
      </w:r>
      <w:r w:rsidR="0049702B" w:rsidRPr="002D224D">
        <w:rPr>
          <w:lang w:val="en-GB"/>
        </w:rPr>
        <w:t>ed</w:t>
      </w:r>
      <w:r w:rsidR="005F1171" w:rsidRPr="002D224D">
        <w:rPr>
          <w:lang w:val="en-GB"/>
        </w:rPr>
        <w:t xml:space="preserve"> dedicated workstreams from its membership</w:t>
      </w:r>
      <w:r w:rsidRPr="002D224D">
        <w:rPr>
          <w:lang w:val="en-GB"/>
        </w:rPr>
        <w:t>.</w:t>
      </w:r>
      <w:r w:rsidR="00C372DD" w:rsidRPr="002D224D">
        <w:rPr>
          <w:lang w:val="en-GB"/>
        </w:rPr>
        <w:t xml:space="preserve"> </w:t>
      </w:r>
      <w:r w:rsidR="00F01132" w:rsidRPr="002D224D">
        <w:rPr>
          <w:color w:val="1F1F1F"/>
          <w:shd w:val="clear" w:color="auto" w:fill="FFFFFF"/>
          <w:lang w:val="en-GB"/>
        </w:rPr>
        <w:t xml:space="preserve">In 2023, the SFWG </w:t>
      </w:r>
      <w:r w:rsidR="00EA1563" w:rsidRPr="002D224D">
        <w:rPr>
          <w:color w:val="1F1F1F"/>
          <w:shd w:val="clear" w:color="auto" w:fill="FFFFFF"/>
          <w:lang w:val="en-GB"/>
        </w:rPr>
        <w:t>completed major milestones</w:t>
      </w:r>
      <w:r w:rsidR="00F01132" w:rsidRPr="002D224D">
        <w:rPr>
          <w:color w:val="1F1F1F"/>
          <w:shd w:val="clear" w:color="auto" w:fill="FFFFFF"/>
          <w:lang w:val="en-GB"/>
        </w:rPr>
        <w:t xml:space="preserve"> in </w:t>
      </w:r>
      <w:r w:rsidR="00EA1563" w:rsidRPr="002D224D">
        <w:rPr>
          <w:color w:val="1F1F1F"/>
          <w:shd w:val="clear" w:color="auto" w:fill="FFFFFF"/>
          <w:lang w:val="en-GB"/>
        </w:rPr>
        <w:t xml:space="preserve">all </w:t>
      </w:r>
      <w:r w:rsidR="00F01132" w:rsidRPr="002D224D">
        <w:rPr>
          <w:color w:val="1F1F1F"/>
          <w:shd w:val="clear" w:color="auto" w:fill="FFFFFF"/>
          <w:lang w:val="en-GB"/>
        </w:rPr>
        <w:t xml:space="preserve">three </w:t>
      </w:r>
      <w:r w:rsidR="00EA1563" w:rsidRPr="002D224D">
        <w:rPr>
          <w:color w:val="1F1F1F"/>
          <w:shd w:val="clear" w:color="auto" w:fill="FFFFFF"/>
          <w:lang w:val="en-GB"/>
        </w:rPr>
        <w:t xml:space="preserve">of its </w:t>
      </w:r>
      <w:r w:rsidR="00F01132" w:rsidRPr="002D224D">
        <w:rPr>
          <w:color w:val="1F1F1F"/>
          <w:shd w:val="clear" w:color="auto" w:fill="FFFFFF"/>
          <w:lang w:val="en-GB"/>
        </w:rPr>
        <w:t>workstreams:</w:t>
      </w:r>
    </w:p>
    <w:p w14:paraId="4FAC486B" w14:textId="196C07BF" w:rsidR="00300D41" w:rsidRPr="002D224D" w:rsidRDefault="00300D41" w:rsidP="00300D41">
      <w:pPr>
        <w:pStyle w:val="Heading1"/>
        <w:spacing w:before="160" w:line="276" w:lineRule="auto"/>
        <w:rPr>
          <w:lang w:val="en-GB"/>
        </w:rPr>
      </w:pPr>
      <w:r w:rsidRPr="002D224D">
        <w:rPr>
          <w:lang w:val="en-GB"/>
        </w:rPr>
        <w:t>Workstream</w:t>
      </w:r>
      <w:r w:rsidRPr="002D224D">
        <w:rPr>
          <w:spacing w:val="-11"/>
          <w:lang w:val="en-GB"/>
        </w:rPr>
        <w:t xml:space="preserve"> </w:t>
      </w:r>
      <w:r w:rsidR="00851322" w:rsidRPr="002D224D">
        <w:rPr>
          <w:lang w:val="en-GB"/>
        </w:rPr>
        <w:t>One</w:t>
      </w:r>
      <w:r w:rsidRPr="002D224D">
        <w:rPr>
          <w:spacing w:val="-11"/>
          <w:lang w:val="en-GB"/>
        </w:rPr>
        <w:t xml:space="preserve"> </w:t>
      </w:r>
      <w:r w:rsidRPr="002D224D">
        <w:rPr>
          <w:lang w:val="en-GB"/>
        </w:rPr>
        <w:t>on</w:t>
      </w:r>
      <w:r w:rsidRPr="002D224D">
        <w:rPr>
          <w:spacing w:val="-10"/>
          <w:lang w:val="en-GB"/>
        </w:rPr>
        <w:t xml:space="preserve"> </w:t>
      </w:r>
      <w:r w:rsidRPr="002D224D">
        <w:rPr>
          <w:lang w:val="en-GB"/>
        </w:rPr>
        <w:t>Sustainability-focused</w:t>
      </w:r>
      <w:r w:rsidRPr="002D224D">
        <w:rPr>
          <w:spacing w:val="-12"/>
          <w:lang w:val="en-GB"/>
        </w:rPr>
        <w:t xml:space="preserve"> </w:t>
      </w:r>
      <w:r w:rsidRPr="002D224D">
        <w:rPr>
          <w:lang w:val="en-GB"/>
        </w:rPr>
        <w:t>Corporate</w:t>
      </w:r>
      <w:r w:rsidRPr="002D224D">
        <w:rPr>
          <w:spacing w:val="-11"/>
          <w:lang w:val="en-GB"/>
        </w:rPr>
        <w:t xml:space="preserve"> </w:t>
      </w:r>
      <w:r w:rsidRPr="002D224D">
        <w:rPr>
          <w:spacing w:val="-2"/>
          <w:lang w:val="en-GB"/>
        </w:rPr>
        <w:t>Governance</w:t>
      </w:r>
    </w:p>
    <w:p w14:paraId="1CCAA57B" w14:textId="42F3BCA3" w:rsidR="007C38DB" w:rsidRPr="002D224D" w:rsidRDefault="00300D41" w:rsidP="00C16A04">
      <w:pPr>
        <w:pStyle w:val="BodyText"/>
        <w:spacing w:before="160" w:line="276" w:lineRule="auto"/>
        <w:ind w:right="116"/>
        <w:rPr>
          <w:lang w:val="en-GB"/>
        </w:rPr>
      </w:pPr>
      <w:r w:rsidRPr="002D224D">
        <w:rPr>
          <w:lang w:val="en-GB"/>
        </w:rPr>
        <w:t>The "</w:t>
      </w:r>
      <w:r w:rsidRPr="002D224D">
        <w:rPr>
          <w:i/>
          <w:iCs/>
          <w:lang w:val="en-GB"/>
        </w:rPr>
        <w:t>Principles for the Effective Management of Climate-related Financial Risks</w:t>
      </w:r>
      <w:r w:rsidRPr="002D224D">
        <w:rPr>
          <w:lang w:val="en-GB"/>
        </w:rPr>
        <w:t>”</w:t>
      </w:r>
      <w:r w:rsidR="00F93B38">
        <w:rPr>
          <w:lang w:val="en-GB"/>
        </w:rPr>
        <w:t>,</w:t>
      </w:r>
      <w:r w:rsidRPr="002D224D">
        <w:rPr>
          <w:lang w:val="en-GB"/>
        </w:rPr>
        <w:t xml:space="preserve"> issued by the SFWG in November 2023</w:t>
      </w:r>
      <w:r w:rsidR="00F93B38">
        <w:rPr>
          <w:lang w:val="en-GB"/>
        </w:rPr>
        <w:t>,</w:t>
      </w:r>
      <w:r w:rsidRPr="002D224D">
        <w:rPr>
          <w:lang w:val="en-GB"/>
        </w:rPr>
        <w:t xml:space="preserve"> aim to provide a framework for financial firms to manage climate-related financial risks </w:t>
      </w:r>
      <w:r w:rsidR="00FA31E7" w:rsidRPr="002D224D">
        <w:rPr>
          <w:lang w:val="en-GB"/>
        </w:rPr>
        <w:t xml:space="preserve">effectively </w:t>
      </w:r>
      <w:r w:rsidRPr="002D224D">
        <w:rPr>
          <w:lang w:val="en-GB"/>
        </w:rPr>
        <w:t>in line with international standards of climate risk management. The Principles emphasi</w:t>
      </w:r>
      <w:r w:rsidR="00FA31E7">
        <w:rPr>
          <w:lang w:val="en-GB"/>
        </w:rPr>
        <w:t>s</w:t>
      </w:r>
      <w:r w:rsidRPr="002D224D">
        <w:rPr>
          <w:lang w:val="en-GB"/>
        </w:rPr>
        <w:t xml:space="preserve">e the importance of integration of climate-related financial risks into the overall business strategy of financial firms. The SFWG </w:t>
      </w:r>
      <w:r w:rsidR="007C38DB" w:rsidRPr="002D224D">
        <w:rPr>
          <w:lang w:val="en-GB"/>
        </w:rPr>
        <w:t xml:space="preserve">members will implement supervisory expectations </w:t>
      </w:r>
      <w:r w:rsidR="000B37CA">
        <w:rPr>
          <w:lang w:val="en-GB"/>
        </w:rPr>
        <w:t xml:space="preserve">based on the </w:t>
      </w:r>
      <w:proofErr w:type="gramStart"/>
      <w:r w:rsidR="000B37CA">
        <w:rPr>
          <w:lang w:val="en-GB"/>
        </w:rPr>
        <w:t>Principles</w:t>
      </w:r>
      <w:proofErr w:type="gramEnd"/>
      <w:r w:rsidRPr="002D224D">
        <w:rPr>
          <w:lang w:val="en-GB"/>
        </w:rPr>
        <w:t xml:space="preserve"> </w:t>
      </w:r>
      <w:r w:rsidR="004046E6">
        <w:rPr>
          <w:lang w:val="en-GB"/>
        </w:rPr>
        <w:t>a</w:t>
      </w:r>
      <w:r w:rsidR="000B37CA">
        <w:rPr>
          <w:lang w:val="en-GB"/>
        </w:rPr>
        <w:t xml:space="preserve">imed at enhancing </w:t>
      </w:r>
      <w:r w:rsidRPr="002D224D">
        <w:rPr>
          <w:lang w:val="en-GB"/>
        </w:rPr>
        <w:t>sound climate-related financial risk management framework</w:t>
      </w:r>
      <w:r w:rsidR="00EA1563" w:rsidRPr="002D224D">
        <w:rPr>
          <w:lang w:val="en-GB"/>
        </w:rPr>
        <w:t>s</w:t>
      </w:r>
      <w:r w:rsidR="00264C98">
        <w:rPr>
          <w:lang w:val="en-GB"/>
        </w:rPr>
        <w:t xml:space="preserve"> at financial firms</w:t>
      </w:r>
      <w:r w:rsidR="007C38DB" w:rsidRPr="002D224D">
        <w:rPr>
          <w:lang w:val="en-GB"/>
        </w:rPr>
        <w:t>. T</w:t>
      </w:r>
      <w:r w:rsidRPr="002D224D">
        <w:rPr>
          <w:lang w:val="en-GB"/>
        </w:rPr>
        <w:t>he board and senior management</w:t>
      </w:r>
      <w:r w:rsidR="00A53F7F">
        <w:rPr>
          <w:lang w:val="en-GB"/>
        </w:rPr>
        <w:t xml:space="preserve"> of financial firms</w:t>
      </w:r>
      <w:r w:rsidRPr="002D224D">
        <w:rPr>
          <w:lang w:val="en-GB"/>
        </w:rPr>
        <w:t xml:space="preserve"> </w:t>
      </w:r>
      <w:r w:rsidR="007C38DB" w:rsidRPr="002D224D">
        <w:rPr>
          <w:lang w:val="en-GB"/>
        </w:rPr>
        <w:t xml:space="preserve">will be expected to </w:t>
      </w:r>
      <w:r w:rsidR="00A53F7F">
        <w:rPr>
          <w:lang w:val="en-GB"/>
        </w:rPr>
        <w:t>deliver</w:t>
      </w:r>
      <w:r w:rsidR="007C38DB" w:rsidRPr="002D224D">
        <w:rPr>
          <w:lang w:val="en-GB"/>
        </w:rPr>
        <w:t xml:space="preserve"> proper </w:t>
      </w:r>
      <w:r w:rsidRPr="002D224D">
        <w:rPr>
          <w:lang w:val="en-GB"/>
        </w:rPr>
        <w:t>overs</w:t>
      </w:r>
      <w:r w:rsidR="007C38DB" w:rsidRPr="002D224D">
        <w:rPr>
          <w:lang w:val="en-GB"/>
        </w:rPr>
        <w:t>ight of</w:t>
      </w:r>
      <w:r w:rsidRPr="002D224D">
        <w:rPr>
          <w:lang w:val="en-GB"/>
        </w:rPr>
        <w:t xml:space="preserve"> these risks, particularly when the</w:t>
      </w:r>
      <w:r w:rsidR="00A53F7F">
        <w:rPr>
          <w:lang w:val="en-GB"/>
        </w:rPr>
        <w:t xml:space="preserve"> risks</w:t>
      </w:r>
      <w:r w:rsidRPr="002D224D">
        <w:rPr>
          <w:lang w:val="en-GB"/>
        </w:rPr>
        <w:t xml:space="preserve"> are deemed to be material.</w:t>
      </w:r>
    </w:p>
    <w:p w14:paraId="6B69DBB5" w14:textId="2B11DA59" w:rsidR="00C16A04" w:rsidRPr="002D224D" w:rsidRDefault="00300D41" w:rsidP="00C16A04">
      <w:pPr>
        <w:pStyle w:val="BodyText"/>
        <w:spacing w:before="160" w:line="276" w:lineRule="auto"/>
        <w:ind w:right="116"/>
        <w:rPr>
          <w:lang w:val="en-GB"/>
        </w:rPr>
      </w:pPr>
      <w:r w:rsidRPr="002D224D">
        <w:rPr>
          <w:lang w:val="en-GB"/>
        </w:rPr>
        <w:t xml:space="preserve">The Principles </w:t>
      </w:r>
      <w:r w:rsidR="00EA1563" w:rsidRPr="002D224D">
        <w:rPr>
          <w:lang w:val="en-GB"/>
        </w:rPr>
        <w:t xml:space="preserve">also </w:t>
      </w:r>
      <w:r w:rsidRPr="002D224D">
        <w:rPr>
          <w:lang w:val="en-GB"/>
        </w:rPr>
        <w:t xml:space="preserve">provide guidance </w:t>
      </w:r>
      <w:r w:rsidR="00EA1563" w:rsidRPr="002D224D">
        <w:rPr>
          <w:lang w:val="en-GB"/>
        </w:rPr>
        <w:t>o</w:t>
      </w:r>
      <w:r w:rsidRPr="002D224D">
        <w:rPr>
          <w:lang w:val="en-GB"/>
        </w:rPr>
        <w:t>n incorporating these risks into the firms’ frameworks</w:t>
      </w:r>
      <w:r w:rsidR="00EA1563" w:rsidRPr="002D224D">
        <w:rPr>
          <w:lang w:val="en-GB"/>
        </w:rPr>
        <w:t>,</w:t>
      </w:r>
      <w:r w:rsidRPr="002D224D">
        <w:rPr>
          <w:lang w:val="en-GB"/>
        </w:rPr>
        <w:t xml:space="preserve"> such as oversight, assignment of management responsibilities, monitoring and reporting, scenario analysis and stress testing. Another important element is the incorporation of material climate-related financial risks into the firms’ internal capital and liquidity adequacy assessment processes, including the evaluation of the liquidity, capital, and solvency impact of climate-related financial risks that may manifest within specified time horizons. The UAE’s financial services regulators will determine which financial firms </w:t>
      </w:r>
      <w:r w:rsidR="00A53F7F">
        <w:rPr>
          <w:lang w:val="en-GB"/>
        </w:rPr>
        <w:t xml:space="preserve">will </w:t>
      </w:r>
      <w:r w:rsidRPr="002D224D">
        <w:rPr>
          <w:lang w:val="en-GB"/>
        </w:rPr>
        <w:t>be subject to the</w:t>
      </w:r>
      <w:r w:rsidR="00676C3D" w:rsidRPr="002D224D">
        <w:rPr>
          <w:lang w:val="en-GB"/>
        </w:rPr>
        <w:t>ir expectations set out in the</w:t>
      </w:r>
      <w:r w:rsidRPr="002D224D">
        <w:rPr>
          <w:lang w:val="en-GB"/>
        </w:rPr>
        <w:t xml:space="preserve"> Principles</w:t>
      </w:r>
      <w:r w:rsidR="00676C3D" w:rsidRPr="002D224D">
        <w:rPr>
          <w:lang w:val="en-GB"/>
        </w:rPr>
        <w:t>. The</w:t>
      </w:r>
      <w:r w:rsidR="00A53F7F">
        <w:rPr>
          <w:lang w:val="en-GB"/>
        </w:rPr>
        <w:t>y</w:t>
      </w:r>
      <w:r w:rsidRPr="002D224D">
        <w:rPr>
          <w:lang w:val="en-GB"/>
        </w:rPr>
        <w:t xml:space="preserve"> may introduce additional requirements for specific types of firms</w:t>
      </w:r>
      <w:r w:rsidR="0067289A" w:rsidRPr="002D224D">
        <w:rPr>
          <w:lang w:val="en-GB"/>
        </w:rPr>
        <w:t xml:space="preserve"> and </w:t>
      </w:r>
      <w:r w:rsidR="00A53F7F">
        <w:rPr>
          <w:lang w:val="en-GB"/>
        </w:rPr>
        <w:t xml:space="preserve">will retain </w:t>
      </w:r>
      <w:r w:rsidR="0067289A" w:rsidRPr="002D224D">
        <w:rPr>
          <w:lang w:val="en-GB"/>
        </w:rPr>
        <w:t xml:space="preserve">flexibility to </w:t>
      </w:r>
      <w:r w:rsidR="00676C3D" w:rsidRPr="002D224D">
        <w:rPr>
          <w:lang w:val="en-GB"/>
        </w:rPr>
        <w:t>facilitate</w:t>
      </w:r>
      <w:r w:rsidRPr="002D224D">
        <w:rPr>
          <w:lang w:val="en-GB"/>
        </w:rPr>
        <w:t xml:space="preserve"> future </w:t>
      </w:r>
      <w:r w:rsidR="00A53F7F">
        <w:rPr>
          <w:lang w:val="en-GB"/>
        </w:rPr>
        <w:t>change</w:t>
      </w:r>
      <w:r w:rsidRPr="002D224D">
        <w:rPr>
          <w:lang w:val="en-GB"/>
        </w:rPr>
        <w:t xml:space="preserve">s to accommodate evolving international standards. </w:t>
      </w:r>
      <w:r w:rsidR="00F77959" w:rsidRPr="002D224D">
        <w:rPr>
          <w:lang w:val="en-GB"/>
        </w:rPr>
        <w:t xml:space="preserve">The full text of the </w:t>
      </w:r>
      <w:proofErr w:type="gramStart"/>
      <w:r w:rsidR="00F77959" w:rsidRPr="002D224D">
        <w:rPr>
          <w:lang w:val="en-GB"/>
        </w:rPr>
        <w:t>Principles</w:t>
      </w:r>
      <w:proofErr w:type="gramEnd"/>
      <w:r w:rsidR="00F77959" w:rsidRPr="002D224D">
        <w:rPr>
          <w:lang w:val="en-GB"/>
        </w:rPr>
        <w:t xml:space="preserve"> is attached </w:t>
      </w:r>
      <w:r w:rsidR="00C16A04" w:rsidRPr="002D224D">
        <w:rPr>
          <w:lang w:val="en-GB"/>
        </w:rPr>
        <w:t>here:</w:t>
      </w:r>
    </w:p>
    <w:p w14:paraId="76089661" w14:textId="32AF4547" w:rsidR="0015446F" w:rsidRPr="002D224D" w:rsidRDefault="0032447B" w:rsidP="00F77959">
      <w:pPr>
        <w:pStyle w:val="BodyText"/>
        <w:spacing w:before="160" w:line="276" w:lineRule="auto"/>
        <w:ind w:right="116"/>
        <w:rPr>
          <w:lang w:val="en-GB"/>
        </w:rPr>
      </w:pPr>
      <w:r w:rsidRPr="002D224D">
        <w:rPr>
          <w:lang w:val="en-GB"/>
        </w:rPr>
        <w:object w:dxaOrig="1596" w:dyaOrig="1033" w14:anchorId="1727D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50.7pt" o:ole="">
            <v:imagedata r:id="rId11" o:title=""/>
          </v:shape>
          <o:OLEObject Type="Embed" ProgID="Acrobat.Document.DC" ShapeID="_x0000_i1025" DrawAspect="Icon" ObjectID="_1762957351" r:id="rId12"/>
        </w:object>
      </w:r>
    </w:p>
    <w:p w14:paraId="573EF373" w14:textId="544470CE" w:rsidR="002B2696" w:rsidRPr="002D224D" w:rsidRDefault="002B2696" w:rsidP="0015446F">
      <w:pPr>
        <w:pStyle w:val="BodyText"/>
        <w:spacing w:before="160" w:line="276" w:lineRule="auto"/>
        <w:ind w:right="116"/>
        <w:rPr>
          <w:b/>
          <w:bCs/>
          <w:lang w:val="en-GB"/>
        </w:rPr>
      </w:pPr>
      <w:r w:rsidRPr="002D224D">
        <w:rPr>
          <w:b/>
          <w:bCs/>
          <w:lang w:val="en-GB"/>
        </w:rPr>
        <w:t>Workstream</w:t>
      </w:r>
      <w:r w:rsidRPr="002D224D">
        <w:rPr>
          <w:b/>
          <w:bCs/>
          <w:spacing w:val="-9"/>
          <w:lang w:val="en-GB"/>
        </w:rPr>
        <w:t xml:space="preserve"> </w:t>
      </w:r>
      <w:r w:rsidRPr="002D224D">
        <w:rPr>
          <w:b/>
          <w:bCs/>
          <w:lang w:val="en-GB"/>
        </w:rPr>
        <w:t>Two</w:t>
      </w:r>
      <w:r w:rsidRPr="002D224D">
        <w:rPr>
          <w:b/>
          <w:bCs/>
          <w:spacing w:val="-9"/>
          <w:lang w:val="en-GB"/>
        </w:rPr>
        <w:t xml:space="preserve"> </w:t>
      </w:r>
      <w:r w:rsidRPr="002D224D">
        <w:rPr>
          <w:b/>
          <w:bCs/>
          <w:lang w:val="en-GB"/>
        </w:rPr>
        <w:t>on</w:t>
      </w:r>
      <w:r w:rsidRPr="002D224D">
        <w:rPr>
          <w:b/>
          <w:bCs/>
          <w:spacing w:val="-7"/>
          <w:lang w:val="en-GB"/>
        </w:rPr>
        <w:t xml:space="preserve"> </w:t>
      </w:r>
      <w:r w:rsidRPr="002D224D">
        <w:rPr>
          <w:b/>
          <w:bCs/>
          <w:lang w:val="en-GB"/>
        </w:rPr>
        <w:t>Sustainability</w:t>
      </w:r>
      <w:r w:rsidRPr="002D224D">
        <w:rPr>
          <w:b/>
          <w:bCs/>
          <w:spacing w:val="-7"/>
          <w:lang w:val="en-GB"/>
        </w:rPr>
        <w:t xml:space="preserve"> </w:t>
      </w:r>
      <w:r w:rsidRPr="002D224D">
        <w:rPr>
          <w:b/>
          <w:bCs/>
          <w:spacing w:val="-2"/>
          <w:lang w:val="en-GB"/>
        </w:rPr>
        <w:t>Disclosure</w:t>
      </w:r>
    </w:p>
    <w:p w14:paraId="64956CEE" w14:textId="63B1DEBF" w:rsidR="003523EA" w:rsidRPr="002D224D" w:rsidRDefault="00DB2C42" w:rsidP="00CD03D0">
      <w:pPr>
        <w:pStyle w:val="BodyText"/>
        <w:spacing w:before="160" w:line="276" w:lineRule="auto"/>
        <w:ind w:right="116"/>
        <w:rPr>
          <w:lang w:val="en-GB"/>
        </w:rPr>
      </w:pPr>
      <w:r w:rsidRPr="002D224D">
        <w:rPr>
          <w:lang w:val="en-GB"/>
        </w:rPr>
        <w:t>The “</w:t>
      </w:r>
      <w:r w:rsidRPr="002D224D">
        <w:rPr>
          <w:i/>
          <w:iCs/>
          <w:lang w:val="en-GB"/>
        </w:rPr>
        <w:t>Principles for Sustainability-Related Disclosures for Reporting Entities</w:t>
      </w:r>
      <w:r w:rsidRPr="002D224D">
        <w:rPr>
          <w:lang w:val="en-GB"/>
        </w:rPr>
        <w:t>”</w:t>
      </w:r>
      <w:r w:rsidR="00F93B38">
        <w:rPr>
          <w:lang w:val="en-GB"/>
        </w:rPr>
        <w:t>,</w:t>
      </w:r>
      <w:r w:rsidRPr="002D224D">
        <w:rPr>
          <w:lang w:val="en-GB"/>
        </w:rPr>
        <w:t xml:space="preserve"> </w:t>
      </w:r>
      <w:r w:rsidR="00CD03D0">
        <w:rPr>
          <w:lang w:val="en-GB"/>
        </w:rPr>
        <w:t>published for public consultation</w:t>
      </w:r>
      <w:r w:rsidR="00CD03D0" w:rsidRPr="002D224D">
        <w:rPr>
          <w:lang w:val="en-GB"/>
        </w:rPr>
        <w:t xml:space="preserve"> </w:t>
      </w:r>
      <w:r w:rsidRPr="002D224D">
        <w:rPr>
          <w:lang w:val="en-GB"/>
        </w:rPr>
        <w:t xml:space="preserve">by the SFWG in </w:t>
      </w:r>
      <w:r w:rsidR="00FA4861">
        <w:rPr>
          <w:lang w:val="en-GB"/>
        </w:rPr>
        <w:t xml:space="preserve">September </w:t>
      </w:r>
      <w:r w:rsidRPr="002D224D">
        <w:rPr>
          <w:lang w:val="en-GB"/>
        </w:rPr>
        <w:t>2023</w:t>
      </w:r>
      <w:r w:rsidR="00F93B38">
        <w:rPr>
          <w:lang w:val="en-GB"/>
        </w:rPr>
        <w:t>,</w:t>
      </w:r>
      <w:r w:rsidRPr="002D224D">
        <w:rPr>
          <w:lang w:val="en-GB"/>
        </w:rPr>
        <w:t xml:space="preserve"> aim to enhance transparency and the quality of reporting by entities on environmental, social, and governance (ESG) matters.</w:t>
      </w:r>
      <w:r w:rsidR="00A53F7F">
        <w:rPr>
          <w:lang w:val="en-GB"/>
        </w:rPr>
        <w:t xml:space="preserve"> </w:t>
      </w:r>
      <w:r w:rsidRPr="002D224D">
        <w:rPr>
          <w:lang w:val="en-GB"/>
        </w:rPr>
        <w:t>The Principles emphasi</w:t>
      </w:r>
      <w:r w:rsidR="00FA31E7">
        <w:rPr>
          <w:lang w:val="en-GB"/>
        </w:rPr>
        <w:t>s</w:t>
      </w:r>
      <w:r w:rsidRPr="002D224D">
        <w:rPr>
          <w:lang w:val="en-GB"/>
        </w:rPr>
        <w:t xml:space="preserve">e </w:t>
      </w:r>
      <w:r w:rsidR="0067289A" w:rsidRPr="002D224D">
        <w:rPr>
          <w:lang w:val="en-GB"/>
        </w:rPr>
        <w:t xml:space="preserve">that </w:t>
      </w:r>
      <w:r w:rsidRPr="002D224D">
        <w:rPr>
          <w:lang w:val="en-GB"/>
        </w:rPr>
        <w:t xml:space="preserve">sustainability-related disclosures should reflect the way in which an entity operates, including in the areas of governance, strategy and risk management, and incorporate relevant metrics and targets. </w:t>
      </w:r>
      <w:r w:rsidR="003523EA" w:rsidRPr="002D224D">
        <w:rPr>
          <w:lang w:val="en-GB"/>
        </w:rPr>
        <w:t>They also cover aspects such as internal reporting systems, transparency, materiality, relevance, consistency, stakeholder engagement, and integration of sustainability disclosures. Another important element is the verification and assurance of sustainability reports to enhance credibility and reliability.</w:t>
      </w:r>
    </w:p>
    <w:p w14:paraId="596D1448" w14:textId="070CD675" w:rsidR="0067289A" w:rsidRPr="002D224D" w:rsidRDefault="00DB2C42" w:rsidP="00237C8E">
      <w:pPr>
        <w:pStyle w:val="BodyText"/>
        <w:spacing w:before="160" w:line="276" w:lineRule="auto"/>
        <w:ind w:right="116"/>
        <w:rPr>
          <w:lang w:val="en-GB"/>
        </w:rPr>
      </w:pPr>
      <w:r w:rsidRPr="002D224D">
        <w:rPr>
          <w:lang w:val="en-GB"/>
        </w:rPr>
        <w:t xml:space="preserve">The SFWG notes that the use of </w:t>
      </w:r>
      <w:r w:rsidR="00F93B38" w:rsidRPr="002D224D">
        <w:rPr>
          <w:lang w:val="en-GB"/>
        </w:rPr>
        <w:t>internationally recognised</w:t>
      </w:r>
      <w:r w:rsidRPr="002D224D">
        <w:rPr>
          <w:lang w:val="en-GB"/>
        </w:rPr>
        <w:t xml:space="preserve"> disclosure standards and comparable sustainability metrics is progressing towards greater uniformity</w:t>
      </w:r>
      <w:r w:rsidR="00DB1BB7">
        <w:rPr>
          <w:lang w:val="en-GB"/>
        </w:rPr>
        <w:t>. It is expected</w:t>
      </w:r>
      <w:r w:rsidRPr="002D224D">
        <w:rPr>
          <w:lang w:val="en-GB"/>
        </w:rPr>
        <w:t xml:space="preserve"> that </w:t>
      </w:r>
      <w:r w:rsidR="00DB1BB7">
        <w:rPr>
          <w:lang w:val="en-GB"/>
        </w:rPr>
        <w:t xml:space="preserve">this </w:t>
      </w:r>
      <w:r w:rsidRPr="002D224D">
        <w:rPr>
          <w:lang w:val="en-GB"/>
        </w:rPr>
        <w:t xml:space="preserve">will facilitate the </w:t>
      </w:r>
      <w:r w:rsidR="00F93B38">
        <w:rPr>
          <w:lang w:val="en-GB"/>
        </w:rPr>
        <w:t xml:space="preserve">comparative </w:t>
      </w:r>
      <w:r w:rsidRPr="002D224D">
        <w:rPr>
          <w:lang w:val="en-GB"/>
        </w:rPr>
        <w:t>assessment of reporting entities’ performance by stakeholders.</w:t>
      </w:r>
    </w:p>
    <w:p w14:paraId="0F4E34F7" w14:textId="3CD3EC16" w:rsidR="00C16A04" w:rsidRPr="002D224D" w:rsidRDefault="00DB2C42" w:rsidP="00237C8E">
      <w:pPr>
        <w:pStyle w:val="BodyText"/>
        <w:spacing w:before="160" w:line="276" w:lineRule="auto"/>
        <w:ind w:right="116"/>
        <w:rPr>
          <w:rFonts w:ascii="Calibri" w:eastAsiaTheme="minorHAnsi" w:hAnsi="Calibri" w:cs="Calibri"/>
          <w:lang w:val="en-GB"/>
        </w:rPr>
      </w:pPr>
      <w:r w:rsidRPr="002D224D">
        <w:rPr>
          <w:lang w:val="en-GB"/>
        </w:rPr>
        <w:t>The Principles</w:t>
      </w:r>
      <w:r w:rsidR="003523EA" w:rsidRPr="002D224D">
        <w:rPr>
          <w:lang w:val="en-GB"/>
        </w:rPr>
        <w:t>, while still requiring implementation by the regulatory authorities,</w:t>
      </w:r>
      <w:r w:rsidRPr="002D224D">
        <w:rPr>
          <w:lang w:val="en-GB"/>
        </w:rPr>
        <w:t xml:space="preserve"> provide </w:t>
      </w:r>
      <w:r w:rsidR="00DB1BB7">
        <w:rPr>
          <w:lang w:val="en-GB"/>
        </w:rPr>
        <w:t xml:space="preserve">an </w:t>
      </w:r>
      <w:r w:rsidR="003523EA" w:rsidRPr="002D224D">
        <w:rPr>
          <w:lang w:val="en-GB"/>
        </w:rPr>
        <w:t>early indication</w:t>
      </w:r>
      <w:r w:rsidRPr="002D224D">
        <w:rPr>
          <w:lang w:val="en-GB"/>
        </w:rPr>
        <w:t xml:space="preserve"> </w:t>
      </w:r>
      <w:r w:rsidR="003523EA" w:rsidRPr="002D224D">
        <w:rPr>
          <w:lang w:val="en-GB"/>
        </w:rPr>
        <w:t xml:space="preserve">of regulatory expectations </w:t>
      </w:r>
      <w:r w:rsidRPr="002D224D">
        <w:rPr>
          <w:lang w:val="en-GB"/>
        </w:rPr>
        <w:t>for market participants offering sustainability-related products</w:t>
      </w:r>
      <w:r w:rsidR="003523EA" w:rsidRPr="002D224D">
        <w:rPr>
          <w:lang w:val="en-GB"/>
        </w:rPr>
        <w:t>.</w:t>
      </w:r>
      <w:r w:rsidRPr="002D224D">
        <w:rPr>
          <w:lang w:val="en-GB"/>
        </w:rPr>
        <w:t xml:space="preserve"> The UAE’s regulators will determine which reporting entities</w:t>
      </w:r>
      <w:r w:rsidR="0067289A" w:rsidRPr="002D224D">
        <w:rPr>
          <w:lang w:val="en-GB"/>
        </w:rPr>
        <w:t xml:space="preserve"> should</w:t>
      </w:r>
      <w:r w:rsidRPr="002D224D">
        <w:rPr>
          <w:lang w:val="en-GB"/>
        </w:rPr>
        <w:t xml:space="preserve"> be subject</w:t>
      </w:r>
      <w:r w:rsidR="003523EA" w:rsidRPr="002D224D">
        <w:rPr>
          <w:lang w:val="en-GB"/>
        </w:rPr>
        <w:t xml:space="preserve"> </w:t>
      </w:r>
      <w:r w:rsidRPr="002D224D">
        <w:rPr>
          <w:lang w:val="en-GB"/>
        </w:rPr>
        <w:t>to the Principles</w:t>
      </w:r>
      <w:r w:rsidR="003523EA" w:rsidRPr="002D224D">
        <w:rPr>
          <w:lang w:val="en-GB"/>
        </w:rPr>
        <w:t>,</w:t>
      </w:r>
      <w:r w:rsidRPr="002D224D">
        <w:rPr>
          <w:lang w:val="en-GB"/>
        </w:rPr>
        <w:t xml:space="preserve"> </w:t>
      </w:r>
      <w:r w:rsidR="003523EA" w:rsidRPr="002D224D">
        <w:rPr>
          <w:lang w:val="en-GB"/>
        </w:rPr>
        <w:t>the applicable</w:t>
      </w:r>
      <w:r w:rsidRPr="002D224D">
        <w:rPr>
          <w:lang w:val="en-GB"/>
        </w:rPr>
        <w:t xml:space="preserve"> timeline</w:t>
      </w:r>
      <w:r w:rsidR="003523EA" w:rsidRPr="002D224D">
        <w:rPr>
          <w:lang w:val="en-GB"/>
        </w:rPr>
        <w:t>s and frequency, as well as aspects such as whether they should have</w:t>
      </w:r>
      <w:r w:rsidRPr="002D224D">
        <w:rPr>
          <w:lang w:val="en-GB"/>
        </w:rPr>
        <w:t xml:space="preserve"> </w:t>
      </w:r>
      <w:r w:rsidR="00DB1BB7">
        <w:rPr>
          <w:lang w:val="en-GB"/>
        </w:rPr>
        <w:t xml:space="preserve">a </w:t>
      </w:r>
      <w:r w:rsidRPr="002D224D">
        <w:rPr>
          <w:lang w:val="en-GB"/>
        </w:rPr>
        <w:t>voluntary, ‘comply or explain’ or mandatory nature</w:t>
      </w:r>
      <w:r w:rsidR="00DB1BB7">
        <w:rPr>
          <w:lang w:val="en-GB"/>
        </w:rPr>
        <w:t xml:space="preserve"> and when any such obligations should be introduced</w:t>
      </w:r>
      <w:r w:rsidR="003523EA" w:rsidRPr="002D224D">
        <w:rPr>
          <w:lang w:val="en-GB"/>
        </w:rPr>
        <w:t>.</w:t>
      </w:r>
      <w:r w:rsidRPr="002D224D">
        <w:rPr>
          <w:lang w:val="en-GB"/>
        </w:rPr>
        <w:t xml:space="preserve"> The full text of the</w:t>
      </w:r>
      <w:r w:rsidR="00CD03D0">
        <w:rPr>
          <w:lang w:val="en-GB"/>
        </w:rPr>
        <w:t xml:space="preserve"> draft</w:t>
      </w:r>
      <w:r w:rsidRPr="002D224D">
        <w:rPr>
          <w:lang w:val="en-GB"/>
        </w:rPr>
        <w:t xml:space="preserve"> Principles is attached here</w:t>
      </w:r>
      <w:r w:rsidR="00CF7A70">
        <w:rPr>
          <w:lang w:val="en-GB"/>
        </w:rPr>
        <w:t>:</w:t>
      </w:r>
    </w:p>
    <w:p w14:paraId="3485675F" w14:textId="62C34981" w:rsidR="00CF7A70" w:rsidRPr="002D224D" w:rsidRDefault="0032447B" w:rsidP="002B2696">
      <w:pPr>
        <w:pStyle w:val="BodyText"/>
        <w:spacing w:before="160" w:line="276" w:lineRule="auto"/>
        <w:ind w:right="116"/>
        <w:rPr>
          <w:lang w:val="en-GB"/>
        </w:rPr>
      </w:pPr>
      <w:r w:rsidRPr="002D224D">
        <w:rPr>
          <w:color w:val="FF0000"/>
          <w:lang w:val="en-GB"/>
        </w:rPr>
        <w:object w:dxaOrig="1596" w:dyaOrig="1033" w14:anchorId="3CE6E90F">
          <v:shape id="_x0000_i1026" type="#_x0000_t75" style="width:80.75pt;height:50.7pt" o:ole="">
            <v:imagedata r:id="rId13" o:title=""/>
          </v:shape>
          <o:OLEObject Type="Embed" ProgID="Acrobat.Document.DC" ShapeID="_x0000_i1026" DrawAspect="Icon" ObjectID="_1762957352" r:id="rId14"/>
        </w:object>
      </w:r>
    </w:p>
    <w:p w14:paraId="0CE5FB27" w14:textId="77777777" w:rsidR="0032447B" w:rsidRDefault="000C6898" w:rsidP="0032447B">
      <w:pPr>
        <w:pStyle w:val="BodyText"/>
        <w:spacing w:before="160" w:line="276" w:lineRule="auto"/>
        <w:ind w:right="116"/>
        <w:rPr>
          <w:b/>
          <w:bCs/>
          <w:spacing w:val="-2"/>
          <w:lang w:val="en-GB"/>
        </w:rPr>
      </w:pPr>
      <w:r w:rsidRPr="002D224D">
        <w:rPr>
          <w:b/>
          <w:bCs/>
          <w:lang w:val="en-GB"/>
        </w:rPr>
        <w:t>Workstream</w:t>
      </w:r>
      <w:r w:rsidRPr="002D224D">
        <w:rPr>
          <w:b/>
          <w:bCs/>
          <w:spacing w:val="-7"/>
          <w:lang w:val="en-GB"/>
        </w:rPr>
        <w:t xml:space="preserve"> </w:t>
      </w:r>
      <w:r w:rsidRPr="002D224D">
        <w:rPr>
          <w:b/>
          <w:bCs/>
          <w:lang w:val="en-GB"/>
        </w:rPr>
        <w:t>Three</w:t>
      </w:r>
      <w:r w:rsidRPr="002D224D">
        <w:rPr>
          <w:b/>
          <w:bCs/>
          <w:spacing w:val="-8"/>
          <w:lang w:val="en-GB"/>
        </w:rPr>
        <w:t xml:space="preserve"> </w:t>
      </w:r>
      <w:r w:rsidRPr="002D224D">
        <w:rPr>
          <w:b/>
          <w:bCs/>
          <w:lang w:val="en-GB"/>
        </w:rPr>
        <w:t>on</w:t>
      </w:r>
      <w:r w:rsidRPr="002D224D">
        <w:rPr>
          <w:b/>
          <w:bCs/>
          <w:spacing w:val="-7"/>
          <w:lang w:val="en-GB"/>
        </w:rPr>
        <w:t xml:space="preserve"> </w:t>
      </w:r>
      <w:r w:rsidRPr="002D224D">
        <w:rPr>
          <w:b/>
          <w:bCs/>
          <w:lang w:val="en-GB"/>
        </w:rPr>
        <w:t>the</w:t>
      </w:r>
      <w:r w:rsidRPr="002D224D">
        <w:rPr>
          <w:b/>
          <w:bCs/>
          <w:spacing w:val="-5"/>
          <w:lang w:val="en-GB"/>
        </w:rPr>
        <w:t xml:space="preserve"> </w:t>
      </w:r>
      <w:r w:rsidRPr="002D224D">
        <w:rPr>
          <w:b/>
          <w:bCs/>
          <w:lang w:val="en-GB"/>
        </w:rPr>
        <w:t>UAE</w:t>
      </w:r>
      <w:r w:rsidRPr="002D224D">
        <w:rPr>
          <w:b/>
          <w:bCs/>
          <w:spacing w:val="-6"/>
          <w:lang w:val="en-GB"/>
        </w:rPr>
        <w:t xml:space="preserve"> </w:t>
      </w:r>
      <w:r w:rsidRPr="002D224D">
        <w:rPr>
          <w:b/>
          <w:bCs/>
          <w:lang w:val="en-GB"/>
        </w:rPr>
        <w:t>Sustainable</w:t>
      </w:r>
      <w:r w:rsidRPr="002D224D">
        <w:rPr>
          <w:b/>
          <w:bCs/>
          <w:spacing w:val="-8"/>
          <w:lang w:val="en-GB"/>
        </w:rPr>
        <w:t xml:space="preserve"> </w:t>
      </w:r>
      <w:r w:rsidRPr="002D224D">
        <w:rPr>
          <w:b/>
          <w:bCs/>
          <w:lang w:val="en-GB"/>
        </w:rPr>
        <w:t>Finance</w:t>
      </w:r>
      <w:r w:rsidRPr="002D224D">
        <w:rPr>
          <w:b/>
          <w:bCs/>
          <w:spacing w:val="-7"/>
          <w:lang w:val="en-GB"/>
        </w:rPr>
        <w:t xml:space="preserve"> </w:t>
      </w:r>
      <w:r w:rsidRPr="002D224D">
        <w:rPr>
          <w:b/>
          <w:bCs/>
          <w:spacing w:val="-2"/>
          <w:lang w:val="en-GB"/>
        </w:rPr>
        <w:t>Taxonomy</w:t>
      </w:r>
    </w:p>
    <w:p w14:paraId="7804E52C" w14:textId="65BC8923" w:rsidR="00DB1BB7" w:rsidRDefault="000C6898" w:rsidP="0032447B">
      <w:pPr>
        <w:pStyle w:val="BodyText"/>
        <w:spacing w:before="160" w:line="276" w:lineRule="auto"/>
        <w:ind w:right="116"/>
        <w:rPr>
          <w:lang w:val="en-GB"/>
        </w:rPr>
      </w:pPr>
      <w:r w:rsidRPr="002D224D">
        <w:rPr>
          <w:lang w:val="en-GB"/>
        </w:rPr>
        <w:t>The “</w:t>
      </w:r>
      <w:r w:rsidRPr="002D224D">
        <w:rPr>
          <w:i/>
          <w:iCs/>
          <w:lang w:val="en-GB"/>
        </w:rPr>
        <w:t>Summary of the High-level Design Principles to inform the development of the UAE Sustainable Finance Taxonomy</w:t>
      </w:r>
      <w:r w:rsidRPr="002D224D">
        <w:rPr>
          <w:lang w:val="en-GB"/>
        </w:rPr>
        <w:t xml:space="preserve">” </w:t>
      </w:r>
      <w:r w:rsidR="00091490">
        <w:rPr>
          <w:lang w:val="en-GB"/>
        </w:rPr>
        <w:t>(the Design Principles)</w:t>
      </w:r>
      <w:r w:rsidRPr="002D224D">
        <w:rPr>
          <w:lang w:val="en-GB"/>
        </w:rPr>
        <w:t xml:space="preserve"> </w:t>
      </w:r>
      <w:r w:rsidR="001917E5" w:rsidRPr="002D224D">
        <w:rPr>
          <w:color w:val="1F1F1F"/>
          <w:shd w:val="clear" w:color="auto" w:fill="FFFFFF"/>
          <w:lang w:val="en-GB"/>
        </w:rPr>
        <w:t>lays the groundwork for the Taxonomy's establishment</w:t>
      </w:r>
      <w:r w:rsidR="00340738" w:rsidRPr="002D224D">
        <w:rPr>
          <w:color w:val="1F1F1F"/>
          <w:shd w:val="clear" w:color="auto" w:fill="FFFFFF"/>
          <w:lang w:val="en-GB"/>
        </w:rPr>
        <w:t xml:space="preserve"> in</w:t>
      </w:r>
      <w:r w:rsidR="007544BC" w:rsidRPr="002D224D">
        <w:rPr>
          <w:color w:val="1F1F1F"/>
          <w:shd w:val="clear" w:color="auto" w:fill="FFFFFF"/>
          <w:lang w:val="en-GB"/>
        </w:rPr>
        <w:t xml:space="preserve"> </w:t>
      </w:r>
      <w:r w:rsidR="00B521CC" w:rsidRPr="002D224D">
        <w:rPr>
          <w:color w:val="1F1F1F"/>
          <w:shd w:val="clear" w:color="auto" w:fill="FFFFFF"/>
          <w:lang w:val="en-GB"/>
        </w:rPr>
        <w:t>future</w:t>
      </w:r>
      <w:r w:rsidRPr="002D224D">
        <w:rPr>
          <w:lang w:val="en-GB"/>
        </w:rPr>
        <w:t xml:space="preserve">. The </w:t>
      </w:r>
      <w:r w:rsidR="00DF7704">
        <w:rPr>
          <w:lang w:val="en-GB"/>
        </w:rPr>
        <w:t xml:space="preserve">Design </w:t>
      </w:r>
      <w:r w:rsidR="00340738" w:rsidRPr="002D224D">
        <w:rPr>
          <w:lang w:val="en-GB"/>
        </w:rPr>
        <w:t>P</w:t>
      </w:r>
      <w:r w:rsidRPr="002D224D">
        <w:rPr>
          <w:lang w:val="en-GB"/>
        </w:rPr>
        <w:t>rinciples emphasi</w:t>
      </w:r>
      <w:r w:rsidR="00FA31E7">
        <w:rPr>
          <w:lang w:val="en-GB"/>
        </w:rPr>
        <w:t>s</w:t>
      </w:r>
      <w:r w:rsidRPr="002D224D">
        <w:rPr>
          <w:lang w:val="en-GB"/>
        </w:rPr>
        <w:t xml:space="preserve">e the importance of a </w:t>
      </w:r>
      <w:r w:rsidR="00A201C9" w:rsidRPr="002D224D">
        <w:rPr>
          <w:color w:val="1F1F1F"/>
          <w:shd w:val="clear" w:color="auto" w:fill="FFFFFF"/>
          <w:lang w:val="en-GB"/>
        </w:rPr>
        <w:t>qualitative approach in evaluating climate change mitigation and adaptation efforts</w:t>
      </w:r>
      <w:r w:rsidR="00466FE6" w:rsidRPr="002D224D">
        <w:rPr>
          <w:color w:val="1F1F1F"/>
          <w:shd w:val="clear" w:color="auto" w:fill="FFFFFF"/>
          <w:lang w:val="en-GB"/>
        </w:rPr>
        <w:t xml:space="preserve"> underpinned by quantitative eligibility criteria</w:t>
      </w:r>
      <w:r w:rsidR="00A201C9" w:rsidRPr="002D224D">
        <w:rPr>
          <w:color w:val="1F1F1F"/>
          <w:shd w:val="clear" w:color="auto" w:fill="FFFFFF"/>
          <w:lang w:val="en-GB"/>
        </w:rPr>
        <w:t>, along with the establishment of a common language across the economy.</w:t>
      </w:r>
      <w:r w:rsidRPr="002D224D">
        <w:rPr>
          <w:lang w:val="en-GB"/>
        </w:rPr>
        <w:t xml:space="preserve"> They also cover </w:t>
      </w:r>
      <w:r w:rsidR="00F4337D" w:rsidRPr="002D224D">
        <w:rPr>
          <w:lang w:val="en-GB"/>
        </w:rPr>
        <w:t xml:space="preserve">important </w:t>
      </w:r>
      <w:r w:rsidRPr="002D224D">
        <w:rPr>
          <w:lang w:val="en-GB"/>
        </w:rPr>
        <w:t xml:space="preserve">aspects such the </w:t>
      </w:r>
      <w:r w:rsidR="00167E07" w:rsidRPr="002D224D">
        <w:rPr>
          <w:lang w:val="en-GB"/>
        </w:rPr>
        <w:t xml:space="preserve">implementation </w:t>
      </w:r>
      <w:r w:rsidRPr="002D224D">
        <w:rPr>
          <w:lang w:val="en-GB"/>
        </w:rPr>
        <w:t xml:space="preserve">of a traffic-light classification system </w:t>
      </w:r>
      <w:r w:rsidR="00F4337D" w:rsidRPr="002D224D">
        <w:rPr>
          <w:lang w:val="en-GB"/>
        </w:rPr>
        <w:t xml:space="preserve">facilitating orderly economic transition </w:t>
      </w:r>
      <w:r w:rsidRPr="002D224D">
        <w:rPr>
          <w:lang w:val="en-GB"/>
        </w:rPr>
        <w:t xml:space="preserve">and the </w:t>
      </w:r>
      <w:r w:rsidR="00167E07" w:rsidRPr="002D224D">
        <w:rPr>
          <w:lang w:val="en-GB"/>
        </w:rPr>
        <w:t xml:space="preserve">establishment </w:t>
      </w:r>
      <w:r w:rsidRPr="002D224D">
        <w:rPr>
          <w:lang w:val="en-GB"/>
        </w:rPr>
        <w:t xml:space="preserve">of minimum safeguards to </w:t>
      </w:r>
      <w:r w:rsidR="005E42EF">
        <w:rPr>
          <w:lang w:val="en-GB"/>
        </w:rPr>
        <w:t>encourage</w:t>
      </w:r>
      <w:r w:rsidRPr="002D224D">
        <w:rPr>
          <w:lang w:val="en-GB"/>
        </w:rPr>
        <w:t xml:space="preserve"> adherence to the Taxonomy </w:t>
      </w:r>
      <w:r w:rsidRPr="007F31CC">
        <w:rPr>
          <w:lang w:val="en-GB"/>
        </w:rPr>
        <w:t>and environmental objectives</w:t>
      </w:r>
      <w:r w:rsidR="000B37CA" w:rsidRPr="007F31CC">
        <w:rPr>
          <w:lang w:val="en-GB"/>
        </w:rPr>
        <w:t>.</w:t>
      </w:r>
    </w:p>
    <w:p w14:paraId="414D9DA6" w14:textId="3A04970F" w:rsidR="00C16A04" w:rsidRPr="002D224D" w:rsidRDefault="00A6618A" w:rsidP="00C16A04">
      <w:pPr>
        <w:pStyle w:val="BodyText"/>
        <w:spacing w:before="160" w:line="276" w:lineRule="auto"/>
        <w:ind w:right="116"/>
        <w:rPr>
          <w:lang w:val="en-GB"/>
        </w:rPr>
      </w:pPr>
      <w:r w:rsidRPr="002D224D">
        <w:rPr>
          <w:lang w:val="en-GB"/>
        </w:rPr>
        <w:t>Lastly, an</w:t>
      </w:r>
      <w:r w:rsidR="000C6898" w:rsidRPr="002D224D">
        <w:rPr>
          <w:lang w:val="en-GB"/>
        </w:rPr>
        <w:t xml:space="preserve"> important element </w:t>
      </w:r>
      <w:r w:rsidR="00DF7704">
        <w:rPr>
          <w:lang w:val="en-GB"/>
        </w:rPr>
        <w:t>set out in the</w:t>
      </w:r>
      <w:r w:rsidR="00CF7A70">
        <w:rPr>
          <w:lang w:val="en-GB"/>
        </w:rPr>
        <w:t xml:space="preserve"> </w:t>
      </w:r>
      <w:r w:rsidR="00DF7704">
        <w:rPr>
          <w:lang w:val="en-GB"/>
        </w:rPr>
        <w:t xml:space="preserve">Design Principles is for </w:t>
      </w:r>
      <w:r w:rsidRPr="002D224D">
        <w:rPr>
          <w:lang w:val="en-GB"/>
        </w:rPr>
        <w:t>the Taxonomy</w:t>
      </w:r>
      <w:r w:rsidR="000C6898" w:rsidRPr="002D224D">
        <w:rPr>
          <w:lang w:val="en-GB"/>
        </w:rPr>
        <w:t xml:space="preserve"> </w:t>
      </w:r>
      <w:r w:rsidR="00DF7704">
        <w:rPr>
          <w:lang w:val="en-GB"/>
        </w:rPr>
        <w:t xml:space="preserve">to be reviewed </w:t>
      </w:r>
      <w:r w:rsidR="000C6898" w:rsidRPr="002D224D">
        <w:rPr>
          <w:lang w:val="en-GB"/>
        </w:rPr>
        <w:t>periodic</w:t>
      </w:r>
      <w:r w:rsidR="00DF7704">
        <w:rPr>
          <w:lang w:val="en-GB"/>
        </w:rPr>
        <w:t>ally</w:t>
      </w:r>
      <w:r w:rsidR="000C6898" w:rsidRPr="002D224D">
        <w:rPr>
          <w:lang w:val="en-GB"/>
        </w:rPr>
        <w:t xml:space="preserve"> to </w:t>
      </w:r>
      <w:r w:rsidR="00A5625E" w:rsidRPr="002D224D">
        <w:rPr>
          <w:lang w:val="en-GB"/>
        </w:rPr>
        <w:t>e</w:t>
      </w:r>
      <w:r w:rsidR="00A5625E" w:rsidRPr="002D224D">
        <w:rPr>
          <w:color w:val="1F1F1F"/>
          <w:shd w:val="clear" w:color="auto" w:fill="FFFFFF"/>
          <w:lang w:val="en-GB"/>
        </w:rPr>
        <w:t xml:space="preserve">nsure </w:t>
      </w:r>
      <w:r w:rsidR="00091490">
        <w:rPr>
          <w:color w:val="1F1F1F"/>
          <w:shd w:val="clear" w:color="auto" w:fill="FFFFFF"/>
          <w:lang w:val="en-GB"/>
        </w:rPr>
        <w:t>that it</w:t>
      </w:r>
      <w:r w:rsidR="00A5625E" w:rsidRPr="002D224D">
        <w:rPr>
          <w:color w:val="1F1F1F"/>
          <w:shd w:val="clear" w:color="auto" w:fill="FFFFFF"/>
          <w:lang w:val="en-GB"/>
        </w:rPr>
        <w:t xml:space="preserve"> remains current with market and technological advancements</w:t>
      </w:r>
      <w:r w:rsidR="000C6898" w:rsidRPr="002D224D">
        <w:rPr>
          <w:lang w:val="en-GB"/>
        </w:rPr>
        <w:t xml:space="preserve">. </w:t>
      </w:r>
      <w:r w:rsidRPr="002D224D">
        <w:rPr>
          <w:lang w:val="en-GB"/>
        </w:rPr>
        <w:t xml:space="preserve">Going forward, </w:t>
      </w:r>
      <w:r w:rsidR="00DF7704">
        <w:rPr>
          <w:lang w:val="en-GB"/>
        </w:rPr>
        <w:t>t</w:t>
      </w:r>
      <w:r w:rsidR="000C6898" w:rsidRPr="002D224D">
        <w:rPr>
          <w:lang w:val="en-GB"/>
        </w:rPr>
        <w:t xml:space="preserve">he SFWG plans to integrate </w:t>
      </w:r>
      <w:r w:rsidRPr="002D224D">
        <w:rPr>
          <w:lang w:val="en-GB"/>
        </w:rPr>
        <w:t>it</w:t>
      </w:r>
      <w:r w:rsidR="00DF7704">
        <w:rPr>
          <w:lang w:val="en-GB"/>
        </w:rPr>
        <w:t xml:space="preserve">s work on </w:t>
      </w:r>
      <w:r w:rsidR="000C6898" w:rsidRPr="002D224D">
        <w:rPr>
          <w:lang w:val="en-GB"/>
        </w:rPr>
        <w:t xml:space="preserve">the Taxonomy with existing </w:t>
      </w:r>
      <w:r w:rsidR="00DF7704">
        <w:rPr>
          <w:lang w:val="en-GB"/>
        </w:rPr>
        <w:t xml:space="preserve">and developing </w:t>
      </w:r>
      <w:r w:rsidR="000C6898" w:rsidRPr="002D224D">
        <w:rPr>
          <w:lang w:val="en-GB"/>
        </w:rPr>
        <w:t xml:space="preserve">UAE economic classification systems and sustainability initiatives to </w:t>
      </w:r>
      <w:r w:rsidR="002C3EB4" w:rsidRPr="002D224D">
        <w:rPr>
          <w:lang w:val="en-GB"/>
        </w:rPr>
        <w:t>foster</w:t>
      </w:r>
      <w:r w:rsidR="000C6898" w:rsidRPr="002D224D">
        <w:rPr>
          <w:lang w:val="en-GB"/>
        </w:rPr>
        <w:t xml:space="preserve"> the</w:t>
      </w:r>
      <w:r w:rsidR="002C3EB4" w:rsidRPr="002D224D">
        <w:rPr>
          <w:lang w:val="en-GB"/>
        </w:rPr>
        <w:t xml:space="preserve"> UAE</w:t>
      </w:r>
      <w:r w:rsidR="00FE0AE3" w:rsidRPr="002D224D">
        <w:rPr>
          <w:lang w:val="en-GB"/>
        </w:rPr>
        <w:t xml:space="preserve"> economy’s</w:t>
      </w:r>
      <w:r w:rsidR="000C6898" w:rsidRPr="002D224D">
        <w:rPr>
          <w:lang w:val="en-GB"/>
        </w:rPr>
        <w:t xml:space="preserve"> green competitiveness. This integration aims to enhance ease of use and adoption, promote interoperability, and strengthen the Taxonomy's effectiveness</w:t>
      </w:r>
      <w:r w:rsidR="00DF7704">
        <w:rPr>
          <w:lang w:val="en-GB"/>
        </w:rPr>
        <w:t xml:space="preserve"> </w:t>
      </w:r>
      <w:r w:rsidR="000C6898" w:rsidRPr="002D224D">
        <w:rPr>
          <w:lang w:val="en-GB"/>
        </w:rPr>
        <w:t xml:space="preserve">and integrity. </w:t>
      </w:r>
      <w:r w:rsidR="00091490">
        <w:rPr>
          <w:lang w:val="en-GB"/>
        </w:rPr>
        <w:t>A summary of</w:t>
      </w:r>
      <w:r w:rsidR="003B081E" w:rsidRPr="002D224D">
        <w:rPr>
          <w:lang w:val="en-GB"/>
        </w:rPr>
        <w:t xml:space="preserve"> the </w:t>
      </w:r>
      <w:proofErr w:type="gramStart"/>
      <w:r w:rsidR="003B081E" w:rsidRPr="002D224D">
        <w:rPr>
          <w:lang w:val="en-GB"/>
        </w:rPr>
        <w:t>Principles</w:t>
      </w:r>
      <w:proofErr w:type="gramEnd"/>
      <w:r w:rsidR="003B081E" w:rsidRPr="002D224D">
        <w:rPr>
          <w:lang w:val="en-GB"/>
        </w:rPr>
        <w:t xml:space="preserve"> is attached </w:t>
      </w:r>
      <w:r w:rsidR="00C16A04" w:rsidRPr="002D224D">
        <w:rPr>
          <w:lang w:val="en-GB"/>
        </w:rPr>
        <w:t>here</w:t>
      </w:r>
      <w:r w:rsidR="00CF7A70">
        <w:rPr>
          <w:lang w:val="en-GB"/>
        </w:rPr>
        <w:t>:</w:t>
      </w:r>
    </w:p>
    <w:p w14:paraId="5A5DB6D6" w14:textId="772B9582" w:rsidR="002B2696" w:rsidRPr="002D224D" w:rsidRDefault="0032447B" w:rsidP="000C6898">
      <w:pPr>
        <w:pStyle w:val="BodyText"/>
        <w:spacing w:before="160" w:line="276" w:lineRule="auto"/>
        <w:ind w:right="116"/>
        <w:rPr>
          <w:color w:val="1F1F1F"/>
          <w:shd w:val="clear" w:color="auto" w:fill="FFFFFF"/>
          <w:lang w:val="en-GB"/>
        </w:rPr>
      </w:pPr>
      <w:r w:rsidRPr="002D224D">
        <w:rPr>
          <w:color w:val="FF0000"/>
          <w:lang w:val="en-GB"/>
        </w:rPr>
        <w:object w:dxaOrig="1596" w:dyaOrig="1033" w14:anchorId="47687206">
          <v:shape id="_x0000_i1027" type="#_x0000_t75" style="width:80.75pt;height:50.7pt" o:ole="">
            <v:imagedata r:id="rId15" o:title=""/>
          </v:shape>
          <o:OLEObject Type="Embed" ProgID="Acrobat.Document.DC" ShapeID="_x0000_i1027" DrawAspect="Icon" ObjectID="_1762957353" r:id="rId16"/>
        </w:object>
      </w:r>
    </w:p>
    <w:p w14:paraId="4CBC989C" w14:textId="77777777" w:rsidR="00FA4376" w:rsidRPr="002D224D" w:rsidRDefault="001B7A9E" w:rsidP="007F31CC">
      <w:pPr>
        <w:pStyle w:val="BodyText"/>
        <w:spacing w:before="160" w:line="276" w:lineRule="auto"/>
        <w:ind w:right="116"/>
        <w:rPr>
          <w:b/>
          <w:bCs/>
          <w:iCs/>
          <w:lang w:val="en-GB"/>
        </w:rPr>
      </w:pPr>
      <w:r w:rsidRPr="002D224D">
        <w:rPr>
          <w:b/>
          <w:bCs/>
          <w:iCs/>
          <w:lang w:val="en-GB"/>
        </w:rPr>
        <w:lastRenderedPageBreak/>
        <w:t>Planned</w:t>
      </w:r>
      <w:r w:rsidRPr="002D224D">
        <w:rPr>
          <w:b/>
          <w:bCs/>
          <w:iCs/>
          <w:spacing w:val="-9"/>
          <w:lang w:val="en-GB"/>
        </w:rPr>
        <w:t xml:space="preserve"> </w:t>
      </w:r>
      <w:r w:rsidRPr="002D224D">
        <w:rPr>
          <w:b/>
          <w:bCs/>
          <w:iCs/>
          <w:lang w:val="en-GB"/>
        </w:rPr>
        <w:t>Next</w:t>
      </w:r>
      <w:r w:rsidRPr="002D224D">
        <w:rPr>
          <w:b/>
          <w:bCs/>
          <w:iCs/>
          <w:spacing w:val="-7"/>
          <w:lang w:val="en-GB"/>
        </w:rPr>
        <w:t xml:space="preserve"> </w:t>
      </w:r>
      <w:r w:rsidRPr="002D224D">
        <w:rPr>
          <w:b/>
          <w:bCs/>
          <w:iCs/>
          <w:spacing w:val="-4"/>
          <w:lang w:val="en-GB"/>
        </w:rPr>
        <w:t>Steps</w:t>
      </w:r>
    </w:p>
    <w:p w14:paraId="6A84DFC1" w14:textId="3A5BD381" w:rsidR="001B7A9E" w:rsidRPr="007F31CC" w:rsidRDefault="00466FE6" w:rsidP="0081231C">
      <w:pPr>
        <w:pStyle w:val="BodyText"/>
        <w:spacing w:before="162" w:line="276" w:lineRule="auto"/>
        <w:ind w:right="115"/>
        <w:rPr>
          <w:lang w:val="en-GB"/>
        </w:rPr>
      </w:pPr>
      <w:r w:rsidRPr="002D224D">
        <w:rPr>
          <w:lang w:val="en-GB"/>
        </w:rPr>
        <w:t xml:space="preserve">Following public consultations on </w:t>
      </w:r>
      <w:r w:rsidR="000B37CA">
        <w:rPr>
          <w:lang w:val="en-GB"/>
        </w:rPr>
        <w:t>the first two sets of</w:t>
      </w:r>
      <w:r w:rsidR="000B37CA" w:rsidRPr="002D224D">
        <w:rPr>
          <w:lang w:val="en-GB"/>
        </w:rPr>
        <w:t xml:space="preserve"> Principles</w:t>
      </w:r>
      <w:r w:rsidRPr="002D224D">
        <w:rPr>
          <w:lang w:val="en-GB"/>
        </w:rPr>
        <w:t>, t</w:t>
      </w:r>
      <w:r w:rsidR="00893EBC" w:rsidRPr="002D224D">
        <w:rPr>
          <w:lang w:val="en-GB"/>
        </w:rPr>
        <w:t>he SFWG</w:t>
      </w:r>
      <w:r w:rsidR="00094CFC" w:rsidRPr="002D224D">
        <w:rPr>
          <w:lang w:val="en-GB"/>
        </w:rPr>
        <w:t xml:space="preserve"> ha</w:t>
      </w:r>
      <w:r w:rsidR="00893EBC" w:rsidRPr="002D224D">
        <w:rPr>
          <w:lang w:val="en-GB"/>
        </w:rPr>
        <w:t>s</w:t>
      </w:r>
      <w:r w:rsidR="00094CFC" w:rsidRPr="002D224D">
        <w:rPr>
          <w:lang w:val="en-GB"/>
        </w:rPr>
        <w:t xml:space="preserve"> now </w:t>
      </w:r>
      <w:r w:rsidR="0081231C">
        <w:rPr>
          <w:lang w:val="en-GB"/>
        </w:rPr>
        <w:t>finalised</w:t>
      </w:r>
      <w:r w:rsidR="00882DE8">
        <w:rPr>
          <w:lang w:val="en-GB"/>
        </w:rPr>
        <w:t xml:space="preserve"> the </w:t>
      </w:r>
      <w:r w:rsidR="0081231C">
        <w:rPr>
          <w:lang w:val="en-GB"/>
        </w:rPr>
        <w:t xml:space="preserve">Principles and </w:t>
      </w:r>
      <w:r w:rsidR="00B909AC">
        <w:rPr>
          <w:lang w:val="en-GB"/>
        </w:rPr>
        <w:t xml:space="preserve">communicated its intentions to </w:t>
      </w:r>
      <w:r w:rsidR="00553D9A" w:rsidRPr="002D224D">
        <w:rPr>
          <w:color w:val="1F1F1F"/>
          <w:shd w:val="clear" w:color="auto" w:fill="FFFFFF"/>
          <w:lang w:val="en-GB"/>
        </w:rPr>
        <w:t>stakeholders.</w:t>
      </w:r>
      <w:r w:rsidR="00094CFC" w:rsidRPr="002D224D">
        <w:rPr>
          <w:lang w:val="en-GB"/>
        </w:rPr>
        <w:t xml:space="preserve"> </w:t>
      </w:r>
      <w:r w:rsidR="00F93B38">
        <w:rPr>
          <w:lang w:val="en-GB"/>
        </w:rPr>
        <w:t>N</w:t>
      </w:r>
      <w:r w:rsidR="00094CFC" w:rsidRPr="002D224D">
        <w:rPr>
          <w:lang w:val="en-GB"/>
        </w:rPr>
        <w:t>ext step</w:t>
      </w:r>
      <w:r w:rsidRPr="002D224D">
        <w:rPr>
          <w:lang w:val="en-GB"/>
        </w:rPr>
        <w:t>s</w:t>
      </w:r>
      <w:r w:rsidR="00F93B38">
        <w:rPr>
          <w:lang w:val="en-GB"/>
        </w:rPr>
        <w:t xml:space="preserve"> will include determining</w:t>
      </w:r>
      <w:r w:rsidR="00094CFC" w:rsidRPr="002D224D">
        <w:rPr>
          <w:lang w:val="en-GB"/>
        </w:rPr>
        <w:t xml:space="preserve"> a</w:t>
      </w:r>
      <w:r w:rsidR="00882DE8">
        <w:rPr>
          <w:lang w:val="en-GB"/>
        </w:rPr>
        <w:t>ppropriate</w:t>
      </w:r>
      <w:r w:rsidR="00094CFC" w:rsidRPr="002D224D">
        <w:rPr>
          <w:lang w:val="en-GB"/>
        </w:rPr>
        <w:t xml:space="preserve"> implementation</w:t>
      </w:r>
      <w:r w:rsidR="003B39EA" w:rsidRPr="002D224D">
        <w:rPr>
          <w:lang w:val="en-GB"/>
        </w:rPr>
        <w:t xml:space="preserve"> strateg</w:t>
      </w:r>
      <w:r w:rsidR="00882DE8">
        <w:rPr>
          <w:lang w:val="en-GB"/>
        </w:rPr>
        <w:t>ies</w:t>
      </w:r>
      <w:r w:rsidR="00AE3617" w:rsidRPr="002D224D">
        <w:rPr>
          <w:lang w:val="en-GB"/>
        </w:rPr>
        <w:t xml:space="preserve">, </w:t>
      </w:r>
      <w:r w:rsidR="007F31CC">
        <w:rPr>
          <w:lang w:val="en-GB"/>
        </w:rPr>
        <w:t>reflec</w:t>
      </w:r>
      <w:r w:rsidR="00AE3617" w:rsidRPr="002D224D">
        <w:rPr>
          <w:lang w:val="en-GB"/>
        </w:rPr>
        <w:t xml:space="preserve">ting regulatory </w:t>
      </w:r>
      <w:r w:rsidR="00AE3617" w:rsidRPr="002D224D">
        <w:rPr>
          <w:color w:val="1F1F1F"/>
          <w:shd w:val="clear" w:color="auto" w:fill="FFFFFF"/>
          <w:lang w:val="en-GB"/>
        </w:rPr>
        <w:t>best practices and global developments</w:t>
      </w:r>
      <w:r w:rsidR="005E42EF">
        <w:rPr>
          <w:color w:val="1F1F1F"/>
          <w:shd w:val="clear" w:color="auto" w:fill="FFFFFF"/>
          <w:lang w:val="en-GB"/>
        </w:rPr>
        <w:t xml:space="preserve"> as needed</w:t>
      </w:r>
      <w:r w:rsidR="00094CFC" w:rsidRPr="002D224D">
        <w:rPr>
          <w:lang w:val="en-GB"/>
        </w:rPr>
        <w:t>.</w:t>
      </w:r>
      <w:r w:rsidR="00893EBC" w:rsidRPr="002D224D">
        <w:rPr>
          <w:lang w:val="en-GB"/>
        </w:rPr>
        <w:t xml:space="preserve"> </w:t>
      </w:r>
      <w:r w:rsidR="002006B2" w:rsidRPr="007F31CC">
        <w:rPr>
          <w:color w:val="1F1F1F"/>
          <w:shd w:val="clear" w:color="auto" w:fill="FFFFFF"/>
          <w:lang w:val="en-GB"/>
        </w:rPr>
        <w:t xml:space="preserve">The SFWG will continue to advance its work aiming to publish </w:t>
      </w:r>
      <w:r w:rsidR="00AE3617" w:rsidRPr="007F31CC">
        <w:rPr>
          <w:color w:val="1F1F1F"/>
          <w:shd w:val="clear" w:color="auto" w:fill="FFFFFF"/>
          <w:lang w:val="en-GB"/>
        </w:rPr>
        <w:t xml:space="preserve">additional </w:t>
      </w:r>
      <w:r w:rsidR="002006B2" w:rsidRPr="007F31CC">
        <w:rPr>
          <w:color w:val="1F1F1F"/>
          <w:shd w:val="clear" w:color="auto" w:fill="FFFFFF"/>
          <w:lang w:val="en-GB"/>
        </w:rPr>
        <w:t>outputs in 2024 and beyond</w:t>
      </w:r>
      <w:r w:rsidR="00AE3617" w:rsidRPr="007F31CC">
        <w:rPr>
          <w:color w:val="1F1F1F"/>
          <w:shd w:val="clear" w:color="auto" w:fill="FFFFFF"/>
          <w:lang w:val="en-GB"/>
        </w:rPr>
        <w:t xml:space="preserve"> to</w:t>
      </w:r>
      <w:r w:rsidR="00AE3617" w:rsidRPr="007F31CC">
        <w:rPr>
          <w:lang w:val="en-GB"/>
        </w:rPr>
        <w:t xml:space="preserve"> </w:t>
      </w:r>
      <w:r w:rsidR="00DC4D91">
        <w:rPr>
          <w:lang w:val="en-GB"/>
        </w:rPr>
        <w:t>contribute to</w:t>
      </w:r>
      <w:r w:rsidR="004046E6">
        <w:rPr>
          <w:lang w:val="en-GB"/>
        </w:rPr>
        <w:t xml:space="preserve"> the transition of the UAE economy to net zero.</w:t>
      </w:r>
      <w:r w:rsidR="00AE3617" w:rsidRPr="007F31CC">
        <w:rPr>
          <w:lang w:val="en-GB"/>
        </w:rPr>
        <w:t xml:space="preserve"> </w:t>
      </w:r>
    </w:p>
    <w:sectPr w:rsidR="001B7A9E" w:rsidRPr="007F31CC" w:rsidSect="002D224D">
      <w:headerReference w:type="default" r:id="rId17"/>
      <w:footerReference w:type="default" r:id="rId18"/>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3868" w14:textId="77777777" w:rsidR="000E0789" w:rsidRDefault="000E0789" w:rsidP="00FD3FA2">
      <w:r>
        <w:separator/>
      </w:r>
    </w:p>
  </w:endnote>
  <w:endnote w:type="continuationSeparator" w:id="0">
    <w:p w14:paraId="63F79B7B" w14:textId="77777777" w:rsidR="000E0789" w:rsidRDefault="000E0789" w:rsidP="00FD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2351" w14:textId="77777777" w:rsidR="00E968E6" w:rsidRPr="00E968E6" w:rsidRDefault="00E968E6">
    <w:pPr>
      <w:pStyle w:val="Footer"/>
      <w:jc w:val="center"/>
      <w:rPr>
        <w:caps/>
        <w:sz w:val="20"/>
        <w:szCs w:val="20"/>
      </w:rPr>
    </w:pPr>
    <w:r w:rsidRPr="00E968E6">
      <w:rPr>
        <w:caps/>
        <w:sz w:val="20"/>
        <w:szCs w:val="20"/>
      </w:rPr>
      <w:fldChar w:fldCharType="begin"/>
    </w:r>
    <w:r w:rsidRPr="00E968E6">
      <w:rPr>
        <w:caps/>
        <w:sz w:val="20"/>
        <w:szCs w:val="20"/>
      </w:rPr>
      <w:instrText>PAGE   \* MERGEFORMAT</w:instrText>
    </w:r>
    <w:r w:rsidRPr="00E968E6">
      <w:rPr>
        <w:caps/>
        <w:sz w:val="20"/>
        <w:szCs w:val="20"/>
      </w:rPr>
      <w:fldChar w:fldCharType="separate"/>
    </w:r>
    <w:r w:rsidRPr="00E968E6">
      <w:rPr>
        <w:caps/>
        <w:sz w:val="20"/>
        <w:szCs w:val="20"/>
        <w:lang w:val="en-GB"/>
      </w:rPr>
      <w:t>2</w:t>
    </w:r>
    <w:r w:rsidRPr="00E968E6">
      <w:rPr>
        <w:caps/>
        <w:sz w:val="20"/>
        <w:szCs w:val="20"/>
      </w:rPr>
      <w:fldChar w:fldCharType="end"/>
    </w:r>
  </w:p>
  <w:p w14:paraId="3279BA98" w14:textId="77777777" w:rsidR="00E968E6" w:rsidRDefault="00E96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C02C" w14:textId="77777777" w:rsidR="000E0789" w:rsidRDefault="000E0789" w:rsidP="00FD3FA2">
      <w:r>
        <w:separator/>
      </w:r>
    </w:p>
  </w:footnote>
  <w:footnote w:type="continuationSeparator" w:id="0">
    <w:p w14:paraId="5B5A9EB0" w14:textId="77777777" w:rsidR="000E0789" w:rsidRDefault="000E0789" w:rsidP="00FD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64CE" w14:textId="6B1B0C66" w:rsidR="002D224D" w:rsidRDefault="0040002C">
    <w:pPr>
      <w:pStyle w:val="Header"/>
    </w:pPr>
    <w:r>
      <w:rPr>
        <w:noProof/>
      </w:rPr>
      <mc:AlternateContent>
        <mc:Choice Requires="wps">
          <w:drawing>
            <wp:anchor distT="0" distB="0" distL="114300" distR="114300" simplePos="0" relativeHeight="251659264" behindDoc="0" locked="0" layoutInCell="0" allowOverlap="1" wp14:anchorId="07B79500" wp14:editId="481C9C67">
              <wp:simplePos x="0" y="0"/>
              <wp:positionH relativeFrom="page">
                <wp:posOffset>0</wp:posOffset>
              </wp:positionH>
              <wp:positionV relativeFrom="page">
                <wp:posOffset>190500</wp:posOffset>
              </wp:positionV>
              <wp:extent cx="7562850" cy="273050"/>
              <wp:effectExtent l="0" t="0" r="0" b="12700"/>
              <wp:wrapNone/>
              <wp:docPr id="1" name="MSIPCM8cdd49a1bfacec281ac294ea" descr="{&quot;HashCode&quot;:-193275436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9B052A" w14:textId="45B8BD70" w:rsidR="0040002C" w:rsidRPr="0040002C" w:rsidRDefault="0040002C" w:rsidP="0040002C">
                          <w:pPr>
                            <w:rPr>
                              <w:rFonts w:ascii="Calibri" w:hAnsi="Calibri" w:cs="Calibri"/>
                              <w:color w:val="0078D7"/>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7B79500" id="_x0000_t202" coordsize="21600,21600" o:spt="202" path="m,l,21600r21600,l21600,xe">
              <v:stroke joinstyle="miter"/>
              <v:path gradientshapeok="t" o:connecttype="rect"/>
            </v:shapetype>
            <v:shape id="MSIPCM8cdd49a1bfacec281ac294ea" o:spid="_x0000_s1026" type="#_x0000_t202" alt="{&quot;HashCode&quot;:-1932754363,&quot;Height&quot;:842.0,&quot;Width&quot;:595.0,&quot;Placement&quot;:&quot;Header&quot;,&quot;Index&quot;:&quot;Primary&quot;,&quot;Section&quot;:1,&quot;Top&quot;:0.0,&quot;Left&quot;:0.0}" style="position:absolute;margin-left:0;margin-top:15pt;width:595.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" o:allowincell="f" filled="f" stroked="f" strokeweight=".5pt">
              <v:textbox inset="20pt,0,,0">
                <w:txbxContent>
                  <w:p w14:paraId="169B052A" w14:textId="45B8BD70" w:rsidR="0040002C" w:rsidRPr="0040002C" w:rsidRDefault="0040002C" w:rsidP="0040002C">
                    <w:pPr>
                      <w:rPr>
                        <w:rFonts w:ascii="Calibri" w:hAnsi="Calibri" w:cs="Calibri"/>
                        <w:color w:val="0078D7"/>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621"/>
    <w:multiLevelType w:val="multilevel"/>
    <w:tmpl w:val="994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74850"/>
    <w:multiLevelType w:val="hybridMultilevel"/>
    <w:tmpl w:val="D49A9A76"/>
    <w:lvl w:ilvl="0" w:tplc="0868E6EE">
      <w:start w:val="1"/>
      <w:numFmt w:val="decimal"/>
      <w:lvlText w:val="%1."/>
      <w:lvlJc w:val="left"/>
      <w:pPr>
        <w:ind w:left="460" w:hanging="360"/>
      </w:pPr>
      <w:rPr>
        <w:rFonts w:ascii="Arial" w:eastAsia="Arial" w:hAnsi="Arial" w:cs="Arial" w:hint="default"/>
        <w:b w:val="0"/>
        <w:bCs w:val="0"/>
        <w:i w:val="0"/>
        <w:iCs w:val="0"/>
        <w:spacing w:val="-1"/>
        <w:w w:val="99"/>
        <w:sz w:val="20"/>
        <w:szCs w:val="20"/>
        <w:lang w:val="en-US" w:eastAsia="en-US" w:bidi="ar-SA"/>
      </w:rPr>
    </w:lvl>
    <w:lvl w:ilvl="1" w:tplc="EA8A3670">
      <w:numFmt w:val="bullet"/>
      <w:lvlText w:val="•"/>
      <w:lvlJc w:val="left"/>
      <w:pPr>
        <w:ind w:left="1338" w:hanging="360"/>
      </w:pPr>
      <w:rPr>
        <w:rFonts w:hint="default"/>
        <w:lang w:val="en-US" w:eastAsia="en-US" w:bidi="ar-SA"/>
      </w:rPr>
    </w:lvl>
    <w:lvl w:ilvl="2" w:tplc="E8ACAB3E">
      <w:numFmt w:val="bullet"/>
      <w:lvlText w:val="•"/>
      <w:lvlJc w:val="left"/>
      <w:pPr>
        <w:ind w:left="2217" w:hanging="360"/>
      </w:pPr>
      <w:rPr>
        <w:rFonts w:hint="default"/>
        <w:lang w:val="en-US" w:eastAsia="en-US" w:bidi="ar-SA"/>
      </w:rPr>
    </w:lvl>
    <w:lvl w:ilvl="3" w:tplc="D62AAD4A">
      <w:numFmt w:val="bullet"/>
      <w:lvlText w:val="•"/>
      <w:lvlJc w:val="left"/>
      <w:pPr>
        <w:ind w:left="3095" w:hanging="360"/>
      </w:pPr>
      <w:rPr>
        <w:rFonts w:hint="default"/>
        <w:lang w:val="en-US" w:eastAsia="en-US" w:bidi="ar-SA"/>
      </w:rPr>
    </w:lvl>
    <w:lvl w:ilvl="4" w:tplc="967ECDAC">
      <w:numFmt w:val="bullet"/>
      <w:lvlText w:val="•"/>
      <w:lvlJc w:val="left"/>
      <w:pPr>
        <w:ind w:left="3974" w:hanging="360"/>
      </w:pPr>
      <w:rPr>
        <w:rFonts w:hint="default"/>
        <w:lang w:val="en-US" w:eastAsia="en-US" w:bidi="ar-SA"/>
      </w:rPr>
    </w:lvl>
    <w:lvl w:ilvl="5" w:tplc="D93E9D8A">
      <w:numFmt w:val="bullet"/>
      <w:lvlText w:val="•"/>
      <w:lvlJc w:val="left"/>
      <w:pPr>
        <w:ind w:left="4853" w:hanging="360"/>
      </w:pPr>
      <w:rPr>
        <w:rFonts w:hint="default"/>
        <w:lang w:val="en-US" w:eastAsia="en-US" w:bidi="ar-SA"/>
      </w:rPr>
    </w:lvl>
    <w:lvl w:ilvl="6" w:tplc="3606E582">
      <w:numFmt w:val="bullet"/>
      <w:lvlText w:val="•"/>
      <w:lvlJc w:val="left"/>
      <w:pPr>
        <w:ind w:left="5731" w:hanging="360"/>
      </w:pPr>
      <w:rPr>
        <w:rFonts w:hint="default"/>
        <w:lang w:val="en-US" w:eastAsia="en-US" w:bidi="ar-SA"/>
      </w:rPr>
    </w:lvl>
    <w:lvl w:ilvl="7" w:tplc="3244DE16">
      <w:numFmt w:val="bullet"/>
      <w:lvlText w:val="•"/>
      <w:lvlJc w:val="left"/>
      <w:pPr>
        <w:ind w:left="6610" w:hanging="360"/>
      </w:pPr>
      <w:rPr>
        <w:rFonts w:hint="default"/>
        <w:lang w:val="en-US" w:eastAsia="en-US" w:bidi="ar-SA"/>
      </w:rPr>
    </w:lvl>
    <w:lvl w:ilvl="8" w:tplc="AD9EFAE6">
      <w:numFmt w:val="bullet"/>
      <w:lvlText w:val="•"/>
      <w:lvlJc w:val="left"/>
      <w:pPr>
        <w:ind w:left="7489" w:hanging="360"/>
      </w:pPr>
      <w:rPr>
        <w:rFonts w:hint="default"/>
        <w:lang w:val="en-US" w:eastAsia="en-US" w:bidi="ar-SA"/>
      </w:rPr>
    </w:lvl>
  </w:abstractNum>
  <w:abstractNum w:abstractNumId="2" w15:restartNumberingAfterBreak="0">
    <w:nsid w:val="7A3216B7"/>
    <w:multiLevelType w:val="hybridMultilevel"/>
    <w:tmpl w:val="2C5E693E"/>
    <w:lvl w:ilvl="0" w:tplc="DB861E9A">
      <w:numFmt w:val="bullet"/>
      <w:lvlText w:val=""/>
      <w:lvlJc w:val="left"/>
      <w:pPr>
        <w:ind w:left="460" w:hanging="360"/>
      </w:pPr>
      <w:rPr>
        <w:rFonts w:ascii="Symbol" w:eastAsia="Symbol" w:hAnsi="Symbol" w:cs="Symbol" w:hint="default"/>
        <w:b w:val="0"/>
        <w:bCs w:val="0"/>
        <w:i w:val="0"/>
        <w:iCs w:val="0"/>
        <w:spacing w:val="0"/>
        <w:w w:val="99"/>
        <w:sz w:val="20"/>
        <w:szCs w:val="20"/>
        <w:lang w:val="en-US" w:eastAsia="en-US" w:bidi="ar-SA"/>
      </w:rPr>
    </w:lvl>
    <w:lvl w:ilvl="1" w:tplc="76DA00BA">
      <w:numFmt w:val="bullet"/>
      <w:lvlText w:val="•"/>
      <w:lvlJc w:val="left"/>
      <w:pPr>
        <w:ind w:left="1338" w:hanging="360"/>
      </w:pPr>
      <w:rPr>
        <w:rFonts w:hint="default"/>
        <w:lang w:val="en-US" w:eastAsia="en-US" w:bidi="ar-SA"/>
      </w:rPr>
    </w:lvl>
    <w:lvl w:ilvl="2" w:tplc="37D8A362">
      <w:numFmt w:val="bullet"/>
      <w:lvlText w:val="•"/>
      <w:lvlJc w:val="left"/>
      <w:pPr>
        <w:ind w:left="2217" w:hanging="360"/>
      </w:pPr>
      <w:rPr>
        <w:rFonts w:hint="default"/>
        <w:lang w:val="en-US" w:eastAsia="en-US" w:bidi="ar-SA"/>
      </w:rPr>
    </w:lvl>
    <w:lvl w:ilvl="3" w:tplc="8924D1C0">
      <w:numFmt w:val="bullet"/>
      <w:lvlText w:val="•"/>
      <w:lvlJc w:val="left"/>
      <w:pPr>
        <w:ind w:left="3095" w:hanging="360"/>
      </w:pPr>
      <w:rPr>
        <w:rFonts w:hint="default"/>
        <w:lang w:val="en-US" w:eastAsia="en-US" w:bidi="ar-SA"/>
      </w:rPr>
    </w:lvl>
    <w:lvl w:ilvl="4" w:tplc="6E900838">
      <w:numFmt w:val="bullet"/>
      <w:lvlText w:val="•"/>
      <w:lvlJc w:val="left"/>
      <w:pPr>
        <w:ind w:left="3974" w:hanging="360"/>
      </w:pPr>
      <w:rPr>
        <w:rFonts w:hint="default"/>
        <w:lang w:val="en-US" w:eastAsia="en-US" w:bidi="ar-SA"/>
      </w:rPr>
    </w:lvl>
    <w:lvl w:ilvl="5" w:tplc="C2B41660">
      <w:numFmt w:val="bullet"/>
      <w:lvlText w:val="•"/>
      <w:lvlJc w:val="left"/>
      <w:pPr>
        <w:ind w:left="4853" w:hanging="360"/>
      </w:pPr>
      <w:rPr>
        <w:rFonts w:hint="default"/>
        <w:lang w:val="en-US" w:eastAsia="en-US" w:bidi="ar-SA"/>
      </w:rPr>
    </w:lvl>
    <w:lvl w:ilvl="6" w:tplc="D854BD20">
      <w:numFmt w:val="bullet"/>
      <w:lvlText w:val="•"/>
      <w:lvlJc w:val="left"/>
      <w:pPr>
        <w:ind w:left="5731" w:hanging="360"/>
      </w:pPr>
      <w:rPr>
        <w:rFonts w:hint="default"/>
        <w:lang w:val="en-US" w:eastAsia="en-US" w:bidi="ar-SA"/>
      </w:rPr>
    </w:lvl>
    <w:lvl w:ilvl="7" w:tplc="2D3A6C3C">
      <w:numFmt w:val="bullet"/>
      <w:lvlText w:val="•"/>
      <w:lvlJc w:val="left"/>
      <w:pPr>
        <w:ind w:left="6610" w:hanging="360"/>
      </w:pPr>
      <w:rPr>
        <w:rFonts w:hint="default"/>
        <w:lang w:val="en-US" w:eastAsia="en-US" w:bidi="ar-SA"/>
      </w:rPr>
    </w:lvl>
    <w:lvl w:ilvl="8" w:tplc="C3F64912">
      <w:numFmt w:val="bullet"/>
      <w:lvlText w:val="•"/>
      <w:lvlJc w:val="left"/>
      <w:pPr>
        <w:ind w:left="7489" w:hanging="360"/>
      </w:pPr>
      <w:rPr>
        <w:rFonts w:hint="default"/>
        <w:lang w:val="en-US" w:eastAsia="en-US" w:bidi="ar-SA"/>
      </w:rPr>
    </w:lvl>
  </w:abstractNum>
  <w:num w:numId="1" w16cid:durableId="1073896958">
    <w:abstractNumId w:val="2"/>
  </w:num>
  <w:num w:numId="2" w16cid:durableId="163740098">
    <w:abstractNumId w:val="1"/>
  </w:num>
  <w:num w:numId="3" w16cid:durableId="15083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76"/>
    <w:rsid w:val="00006AC1"/>
    <w:rsid w:val="00013438"/>
    <w:rsid w:val="00024C15"/>
    <w:rsid w:val="0002711C"/>
    <w:rsid w:val="000274DD"/>
    <w:rsid w:val="000444DC"/>
    <w:rsid w:val="000533B8"/>
    <w:rsid w:val="00066139"/>
    <w:rsid w:val="00066F03"/>
    <w:rsid w:val="00070DB3"/>
    <w:rsid w:val="00070EDD"/>
    <w:rsid w:val="00071413"/>
    <w:rsid w:val="00077CCE"/>
    <w:rsid w:val="00081015"/>
    <w:rsid w:val="000813E9"/>
    <w:rsid w:val="00091490"/>
    <w:rsid w:val="000917D9"/>
    <w:rsid w:val="000938BC"/>
    <w:rsid w:val="00093A76"/>
    <w:rsid w:val="00094CFC"/>
    <w:rsid w:val="00096C71"/>
    <w:rsid w:val="000A7D50"/>
    <w:rsid w:val="000B0E2F"/>
    <w:rsid w:val="000B37CA"/>
    <w:rsid w:val="000B6FA2"/>
    <w:rsid w:val="000C4D45"/>
    <w:rsid w:val="000C544D"/>
    <w:rsid w:val="000C560F"/>
    <w:rsid w:val="000C6898"/>
    <w:rsid w:val="000D1C08"/>
    <w:rsid w:val="000D342F"/>
    <w:rsid w:val="000D389D"/>
    <w:rsid w:val="000D4A5F"/>
    <w:rsid w:val="000D5F76"/>
    <w:rsid w:val="000E0789"/>
    <w:rsid w:val="000E76AD"/>
    <w:rsid w:val="000F7E78"/>
    <w:rsid w:val="00103E16"/>
    <w:rsid w:val="0011051C"/>
    <w:rsid w:val="001166DD"/>
    <w:rsid w:val="00125E31"/>
    <w:rsid w:val="0012692A"/>
    <w:rsid w:val="00127D35"/>
    <w:rsid w:val="00142AA9"/>
    <w:rsid w:val="00151C0B"/>
    <w:rsid w:val="001538BA"/>
    <w:rsid w:val="0015446F"/>
    <w:rsid w:val="00156C8D"/>
    <w:rsid w:val="00161662"/>
    <w:rsid w:val="001647FB"/>
    <w:rsid w:val="00167E07"/>
    <w:rsid w:val="00170B82"/>
    <w:rsid w:val="001716C5"/>
    <w:rsid w:val="00171B82"/>
    <w:rsid w:val="00176954"/>
    <w:rsid w:val="001873BF"/>
    <w:rsid w:val="001917E5"/>
    <w:rsid w:val="00193D9D"/>
    <w:rsid w:val="0019684F"/>
    <w:rsid w:val="0019755F"/>
    <w:rsid w:val="001977CE"/>
    <w:rsid w:val="001A52B7"/>
    <w:rsid w:val="001B119D"/>
    <w:rsid w:val="001B1B72"/>
    <w:rsid w:val="001B7715"/>
    <w:rsid w:val="001B7A9E"/>
    <w:rsid w:val="001B7FB9"/>
    <w:rsid w:val="001C0746"/>
    <w:rsid w:val="001C3CB4"/>
    <w:rsid w:val="001C4FD7"/>
    <w:rsid w:val="001C5577"/>
    <w:rsid w:val="001C7263"/>
    <w:rsid w:val="001C729C"/>
    <w:rsid w:val="001F326E"/>
    <w:rsid w:val="002006B2"/>
    <w:rsid w:val="00204F49"/>
    <w:rsid w:val="00210B2F"/>
    <w:rsid w:val="002120FA"/>
    <w:rsid w:val="00216756"/>
    <w:rsid w:val="002336E7"/>
    <w:rsid w:val="00237C8E"/>
    <w:rsid w:val="0024361D"/>
    <w:rsid w:val="00245CEA"/>
    <w:rsid w:val="00251367"/>
    <w:rsid w:val="002532A5"/>
    <w:rsid w:val="0026238C"/>
    <w:rsid w:val="00263B54"/>
    <w:rsid w:val="00264C98"/>
    <w:rsid w:val="00283898"/>
    <w:rsid w:val="00286ECD"/>
    <w:rsid w:val="00290615"/>
    <w:rsid w:val="00295430"/>
    <w:rsid w:val="002A3244"/>
    <w:rsid w:val="002B06B5"/>
    <w:rsid w:val="002B230D"/>
    <w:rsid w:val="002B2696"/>
    <w:rsid w:val="002C3EB4"/>
    <w:rsid w:val="002D224D"/>
    <w:rsid w:val="002D54EE"/>
    <w:rsid w:val="002D579B"/>
    <w:rsid w:val="002E4753"/>
    <w:rsid w:val="002F3B56"/>
    <w:rsid w:val="002F453C"/>
    <w:rsid w:val="002F7BB1"/>
    <w:rsid w:val="00300D41"/>
    <w:rsid w:val="00301BF3"/>
    <w:rsid w:val="003071A1"/>
    <w:rsid w:val="003153CD"/>
    <w:rsid w:val="00317CA1"/>
    <w:rsid w:val="00320058"/>
    <w:rsid w:val="003208CE"/>
    <w:rsid w:val="00320BD1"/>
    <w:rsid w:val="00323772"/>
    <w:rsid w:val="0032447B"/>
    <w:rsid w:val="00326BCE"/>
    <w:rsid w:val="00330AAC"/>
    <w:rsid w:val="00334608"/>
    <w:rsid w:val="00340738"/>
    <w:rsid w:val="003423EF"/>
    <w:rsid w:val="003437A9"/>
    <w:rsid w:val="00351B28"/>
    <w:rsid w:val="003523EA"/>
    <w:rsid w:val="00361DB3"/>
    <w:rsid w:val="003628FC"/>
    <w:rsid w:val="00364114"/>
    <w:rsid w:val="00365416"/>
    <w:rsid w:val="003A152B"/>
    <w:rsid w:val="003A750D"/>
    <w:rsid w:val="003B081E"/>
    <w:rsid w:val="003B39EA"/>
    <w:rsid w:val="003B4924"/>
    <w:rsid w:val="003C14CA"/>
    <w:rsid w:val="003C1FF8"/>
    <w:rsid w:val="003C6DAE"/>
    <w:rsid w:val="003D1E44"/>
    <w:rsid w:val="003D69C6"/>
    <w:rsid w:val="003D7E6F"/>
    <w:rsid w:val="003E60FE"/>
    <w:rsid w:val="003E7CA5"/>
    <w:rsid w:val="003F5B15"/>
    <w:rsid w:val="0040002C"/>
    <w:rsid w:val="0040170A"/>
    <w:rsid w:val="004046E6"/>
    <w:rsid w:val="00410113"/>
    <w:rsid w:val="00427253"/>
    <w:rsid w:val="00436660"/>
    <w:rsid w:val="00453000"/>
    <w:rsid w:val="004542F2"/>
    <w:rsid w:val="00456478"/>
    <w:rsid w:val="00456930"/>
    <w:rsid w:val="00456AA7"/>
    <w:rsid w:val="00464F28"/>
    <w:rsid w:val="00466FE6"/>
    <w:rsid w:val="00486CAA"/>
    <w:rsid w:val="00490EFF"/>
    <w:rsid w:val="00495B1C"/>
    <w:rsid w:val="0049702B"/>
    <w:rsid w:val="00497893"/>
    <w:rsid w:val="004A4BA0"/>
    <w:rsid w:val="004A4CF5"/>
    <w:rsid w:val="004B7C37"/>
    <w:rsid w:val="004D17CA"/>
    <w:rsid w:val="004E1A47"/>
    <w:rsid w:val="004E30B6"/>
    <w:rsid w:val="004E4839"/>
    <w:rsid w:val="004E77BA"/>
    <w:rsid w:val="004F64D0"/>
    <w:rsid w:val="00501CF2"/>
    <w:rsid w:val="0051048D"/>
    <w:rsid w:val="005114DE"/>
    <w:rsid w:val="00511DBD"/>
    <w:rsid w:val="00517538"/>
    <w:rsid w:val="00522C52"/>
    <w:rsid w:val="005329DA"/>
    <w:rsid w:val="00532F74"/>
    <w:rsid w:val="005332E4"/>
    <w:rsid w:val="00537834"/>
    <w:rsid w:val="005461B6"/>
    <w:rsid w:val="005517DD"/>
    <w:rsid w:val="00553C3A"/>
    <w:rsid w:val="00553D9A"/>
    <w:rsid w:val="0055459B"/>
    <w:rsid w:val="00561363"/>
    <w:rsid w:val="00567423"/>
    <w:rsid w:val="00575D64"/>
    <w:rsid w:val="005767BB"/>
    <w:rsid w:val="00594893"/>
    <w:rsid w:val="005A0E70"/>
    <w:rsid w:val="005A27E4"/>
    <w:rsid w:val="005B4055"/>
    <w:rsid w:val="005B6605"/>
    <w:rsid w:val="005C0A69"/>
    <w:rsid w:val="005C0F0D"/>
    <w:rsid w:val="005D7565"/>
    <w:rsid w:val="005E42EF"/>
    <w:rsid w:val="005E6201"/>
    <w:rsid w:val="005F06BE"/>
    <w:rsid w:val="005F1171"/>
    <w:rsid w:val="005F1A4A"/>
    <w:rsid w:val="005F414B"/>
    <w:rsid w:val="005F795A"/>
    <w:rsid w:val="00600C68"/>
    <w:rsid w:val="00601417"/>
    <w:rsid w:val="006060D7"/>
    <w:rsid w:val="00611682"/>
    <w:rsid w:val="00621E52"/>
    <w:rsid w:val="0062252F"/>
    <w:rsid w:val="00622ACA"/>
    <w:rsid w:val="006232FE"/>
    <w:rsid w:val="006237FD"/>
    <w:rsid w:val="00626322"/>
    <w:rsid w:val="00627D5D"/>
    <w:rsid w:val="006347F9"/>
    <w:rsid w:val="00637A1E"/>
    <w:rsid w:val="00637F88"/>
    <w:rsid w:val="006415D1"/>
    <w:rsid w:val="00643AFF"/>
    <w:rsid w:val="00646D20"/>
    <w:rsid w:val="00653C1E"/>
    <w:rsid w:val="00660045"/>
    <w:rsid w:val="00671C3B"/>
    <w:rsid w:val="0067289A"/>
    <w:rsid w:val="00676C3D"/>
    <w:rsid w:val="006829FD"/>
    <w:rsid w:val="00683935"/>
    <w:rsid w:val="00694949"/>
    <w:rsid w:val="00694D39"/>
    <w:rsid w:val="006960C9"/>
    <w:rsid w:val="006A123F"/>
    <w:rsid w:val="006A2F89"/>
    <w:rsid w:val="006A3363"/>
    <w:rsid w:val="006A6633"/>
    <w:rsid w:val="006A79A2"/>
    <w:rsid w:val="006B0713"/>
    <w:rsid w:val="006C29FE"/>
    <w:rsid w:val="006C48FE"/>
    <w:rsid w:val="006F0C0B"/>
    <w:rsid w:val="0070559F"/>
    <w:rsid w:val="0070644A"/>
    <w:rsid w:val="00712F3D"/>
    <w:rsid w:val="00720792"/>
    <w:rsid w:val="00722BED"/>
    <w:rsid w:val="007423A4"/>
    <w:rsid w:val="007544BC"/>
    <w:rsid w:val="00762372"/>
    <w:rsid w:val="00774BE7"/>
    <w:rsid w:val="00775033"/>
    <w:rsid w:val="00787663"/>
    <w:rsid w:val="007A57C3"/>
    <w:rsid w:val="007C38DB"/>
    <w:rsid w:val="007D2024"/>
    <w:rsid w:val="007D2A64"/>
    <w:rsid w:val="007F31CC"/>
    <w:rsid w:val="00802523"/>
    <w:rsid w:val="00807066"/>
    <w:rsid w:val="0081231C"/>
    <w:rsid w:val="0081581A"/>
    <w:rsid w:val="00825EC6"/>
    <w:rsid w:val="00836957"/>
    <w:rsid w:val="00841F76"/>
    <w:rsid w:val="00844B2C"/>
    <w:rsid w:val="00845BB6"/>
    <w:rsid w:val="00851322"/>
    <w:rsid w:val="00854095"/>
    <w:rsid w:val="0086183A"/>
    <w:rsid w:val="00862BFF"/>
    <w:rsid w:val="00882DE8"/>
    <w:rsid w:val="00885212"/>
    <w:rsid w:val="00885D6D"/>
    <w:rsid w:val="00893EBC"/>
    <w:rsid w:val="008A5D6D"/>
    <w:rsid w:val="008B00CD"/>
    <w:rsid w:val="008C0BAD"/>
    <w:rsid w:val="008C6553"/>
    <w:rsid w:val="008C6D67"/>
    <w:rsid w:val="008D3E56"/>
    <w:rsid w:val="008D62B5"/>
    <w:rsid w:val="008E3CC4"/>
    <w:rsid w:val="0090116F"/>
    <w:rsid w:val="009118DE"/>
    <w:rsid w:val="009139B7"/>
    <w:rsid w:val="00920319"/>
    <w:rsid w:val="00926890"/>
    <w:rsid w:val="0094530B"/>
    <w:rsid w:val="009466B2"/>
    <w:rsid w:val="00951BBD"/>
    <w:rsid w:val="00962E9A"/>
    <w:rsid w:val="009631F6"/>
    <w:rsid w:val="00963B30"/>
    <w:rsid w:val="009659DC"/>
    <w:rsid w:val="00966B4B"/>
    <w:rsid w:val="009827FC"/>
    <w:rsid w:val="00983B3D"/>
    <w:rsid w:val="009863B9"/>
    <w:rsid w:val="00986782"/>
    <w:rsid w:val="00993725"/>
    <w:rsid w:val="009A09FC"/>
    <w:rsid w:val="009A6BA0"/>
    <w:rsid w:val="009B2635"/>
    <w:rsid w:val="009B6433"/>
    <w:rsid w:val="009B655D"/>
    <w:rsid w:val="009D0470"/>
    <w:rsid w:val="009D6678"/>
    <w:rsid w:val="009D7404"/>
    <w:rsid w:val="009D78D5"/>
    <w:rsid w:val="009E008C"/>
    <w:rsid w:val="009E0272"/>
    <w:rsid w:val="009F1B08"/>
    <w:rsid w:val="009F2B55"/>
    <w:rsid w:val="009F37D8"/>
    <w:rsid w:val="009F3E20"/>
    <w:rsid w:val="009F4523"/>
    <w:rsid w:val="009F5A6E"/>
    <w:rsid w:val="009F5D5F"/>
    <w:rsid w:val="00A148B3"/>
    <w:rsid w:val="00A14D59"/>
    <w:rsid w:val="00A201C9"/>
    <w:rsid w:val="00A34906"/>
    <w:rsid w:val="00A45C49"/>
    <w:rsid w:val="00A46376"/>
    <w:rsid w:val="00A50C36"/>
    <w:rsid w:val="00A53F7F"/>
    <w:rsid w:val="00A5625E"/>
    <w:rsid w:val="00A618E0"/>
    <w:rsid w:val="00A6618A"/>
    <w:rsid w:val="00A71236"/>
    <w:rsid w:val="00A76A1F"/>
    <w:rsid w:val="00A81234"/>
    <w:rsid w:val="00A85A86"/>
    <w:rsid w:val="00A90C2C"/>
    <w:rsid w:val="00A9655F"/>
    <w:rsid w:val="00AA3A31"/>
    <w:rsid w:val="00AA46C1"/>
    <w:rsid w:val="00AA5050"/>
    <w:rsid w:val="00AA53BA"/>
    <w:rsid w:val="00AB3AF9"/>
    <w:rsid w:val="00AB7F94"/>
    <w:rsid w:val="00AC10D0"/>
    <w:rsid w:val="00AC267A"/>
    <w:rsid w:val="00AC5BC9"/>
    <w:rsid w:val="00AD1C1C"/>
    <w:rsid w:val="00AD209C"/>
    <w:rsid w:val="00AE3617"/>
    <w:rsid w:val="00AF0038"/>
    <w:rsid w:val="00AF3395"/>
    <w:rsid w:val="00AF3E94"/>
    <w:rsid w:val="00B05110"/>
    <w:rsid w:val="00B05DF7"/>
    <w:rsid w:val="00B277F8"/>
    <w:rsid w:val="00B27B21"/>
    <w:rsid w:val="00B27D3F"/>
    <w:rsid w:val="00B36512"/>
    <w:rsid w:val="00B41292"/>
    <w:rsid w:val="00B43845"/>
    <w:rsid w:val="00B4486E"/>
    <w:rsid w:val="00B454F8"/>
    <w:rsid w:val="00B4672C"/>
    <w:rsid w:val="00B504B5"/>
    <w:rsid w:val="00B5099D"/>
    <w:rsid w:val="00B51F02"/>
    <w:rsid w:val="00B521CC"/>
    <w:rsid w:val="00B52716"/>
    <w:rsid w:val="00B539EA"/>
    <w:rsid w:val="00B6154C"/>
    <w:rsid w:val="00B76CAD"/>
    <w:rsid w:val="00B77540"/>
    <w:rsid w:val="00B84F0D"/>
    <w:rsid w:val="00B909AC"/>
    <w:rsid w:val="00BA2367"/>
    <w:rsid w:val="00BB539B"/>
    <w:rsid w:val="00BB6830"/>
    <w:rsid w:val="00BD4B7F"/>
    <w:rsid w:val="00BE2DF2"/>
    <w:rsid w:val="00BF3C73"/>
    <w:rsid w:val="00C01B0A"/>
    <w:rsid w:val="00C101C3"/>
    <w:rsid w:val="00C127D7"/>
    <w:rsid w:val="00C13429"/>
    <w:rsid w:val="00C16A04"/>
    <w:rsid w:val="00C27466"/>
    <w:rsid w:val="00C31681"/>
    <w:rsid w:val="00C3388A"/>
    <w:rsid w:val="00C372DD"/>
    <w:rsid w:val="00C4486E"/>
    <w:rsid w:val="00C4580C"/>
    <w:rsid w:val="00C5030E"/>
    <w:rsid w:val="00C51947"/>
    <w:rsid w:val="00C55035"/>
    <w:rsid w:val="00C55813"/>
    <w:rsid w:val="00C61204"/>
    <w:rsid w:val="00C61DD0"/>
    <w:rsid w:val="00C659C4"/>
    <w:rsid w:val="00C70DAE"/>
    <w:rsid w:val="00C7356B"/>
    <w:rsid w:val="00C76B93"/>
    <w:rsid w:val="00C81A66"/>
    <w:rsid w:val="00C842F9"/>
    <w:rsid w:val="00C903AD"/>
    <w:rsid w:val="00C96CBE"/>
    <w:rsid w:val="00CA0757"/>
    <w:rsid w:val="00CA51B7"/>
    <w:rsid w:val="00CA6FD2"/>
    <w:rsid w:val="00CB048F"/>
    <w:rsid w:val="00CB070B"/>
    <w:rsid w:val="00CB5120"/>
    <w:rsid w:val="00CB5D0E"/>
    <w:rsid w:val="00CC0359"/>
    <w:rsid w:val="00CC2C29"/>
    <w:rsid w:val="00CC6398"/>
    <w:rsid w:val="00CD03D0"/>
    <w:rsid w:val="00CE2069"/>
    <w:rsid w:val="00CE5896"/>
    <w:rsid w:val="00CE6949"/>
    <w:rsid w:val="00CE78B1"/>
    <w:rsid w:val="00CF0E0B"/>
    <w:rsid w:val="00CF7A70"/>
    <w:rsid w:val="00D018AC"/>
    <w:rsid w:val="00D01F39"/>
    <w:rsid w:val="00D029BA"/>
    <w:rsid w:val="00D10AB2"/>
    <w:rsid w:val="00D13A42"/>
    <w:rsid w:val="00D22158"/>
    <w:rsid w:val="00D22605"/>
    <w:rsid w:val="00D233E3"/>
    <w:rsid w:val="00D26E09"/>
    <w:rsid w:val="00D31CB5"/>
    <w:rsid w:val="00D423A6"/>
    <w:rsid w:val="00D53D24"/>
    <w:rsid w:val="00D54C57"/>
    <w:rsid w:val="00D60B1A"/>
    <w:rsid w:val="00D63556"/>
    <w:rsid w:val="00D6392F"/>
    <w:rsid w:val="00D65677"/>
    <w:rsid w:val="00D75CDB"/>
    <w:rsid w:val="00D82A9F"/>
    <w:rsid w:val="00D902FD"/>
    <w:rsid w:val="00D979AE"/>
    <w:rsid w:val="00DB1BB7"/>
    <w:rsid w:val="00DB2C42"/>
    <w:rsid w:val="00DC02B2"/>
    <w:rsid w:val="00DC2CD8"/>
    <w:rsid w:val="00DC4D91"/>
    <w:rsid w:val="00DE2E0D"/>
    <w:rsid w:val="00DF0D5B"/>
    <w:rsid w:val="00DF5A0D"/>
    <w:rsid w:val="00DF7704"/>
    <w:rsid w:val="00E02DE2"/>
    <w:rsid w:val="00E1073A"/>
    <w:rsid w:val="00E1098B"/>
    <w:rsid w:val="00E16B19"/>
    <w:rsid w:val="00E17B74"/>
    <w:rsid w:val="00E205B4"/>
    <w:rsid w:val="00E36D2A"/>
    <w:rsid w:val="00E36D97"/>
    <w:rsid w:val="00E51A33"/>
    <w:rsid w:val="00E555B9"/>
    <w:rsid w:val="00E55A71"/>
    <w:rsid w:val="00E55F05"/>
    <w:rsid w:val="00E60C34"/>
    <w:rsid w:val="00E660F2"/>
    <w:rsid w:val="00E717FF"/>
    <w:rsid w:val="00E72A86"/>
    <w:rsid w:val="00E745CF"/>
    <w:rsid w:val="00E872F2"/>
    <w:rsid w:val="00E9417B"/>
    <w:rsid w:val="00E95AC6"/>
    <w:rsid w:val="00E968E6"/>
    <w:rsid w:val="00E96B28"/>
    <w:rsid w:val="00E97494"/>
    <w:rsid w:val="00EA1563"/>
    <w:rsid w:val="00EA6E3E"/>
    <w:rsid w:val="00EB0EF5"/>
    <w:rsid w:val="00EB35A8"/>
    <w:rsid w:val="00EB35C6"/>
    <w:rsid w:val="00EB5049"/>
    <w:rsid w:val="00EB6E15"/>
    <w:rsid w:val="00EC7733"/>
    <w:rsid w:val="00ED0436"/>
    <w:rsid w:val="00ED0C65"/>
    <w:rsid w:val="00ED192F"/>
    <w:rsid w:val="00ED4712"/>
    <w:rsid w:val="00EF02A4"/>
    <w:rsid w:val="00EF34C5"/>
    <w:rsid w:val="00EF6B79"/>
    <w:rsid w:val="00EF6FBB"/>
    <w:rsid w:val="00F00870"/>
    <w:rsid w:val="00F00949"/>
    <w:rsid w:val="00F01132"/>
    <w:rsid w:val="00F01EE9"/>
    <w:rsid w:val="00F0408A"/>
    <w:rsid w:val="00F10844"/>
    <w:rsid w:val="00F13C58"/>
    <w:rsid w:val="00F14446"/>
    <w:rsid w:val="00F2185B"/>
    <w:rsid w:val="00F235E6"/>
    <w:rsid w:val="00F238CF"/>
    <w:rsid w:val="00F2443D"/>
    <w:rsid w:val="00F276E1"/>
    <w:rsid w:val="00F41B5F"/>
    <w:rsid w:val="00F4337D"/>
    <w:rsid w:val="00F51201"/>
    <w:rsid w:val="00F55DB7"/>
    <w:rsid w:val="00F628D5"/>
    <w:rsid w:val="00F64817"/>
    <w:rsid w:val="00F6494A"/>
    <w:rsid w:val="00F65E94"/>
    <w:rsid w:val="00F77959"/>
    <w:rsid w:val="00F83275"/>
    <w:rsid w:val="00F93B38"/>
    <w:rsid w:val="00F94B97"/>
    <w:rsid w:val="00FA18CC"/>
    <w:rsid w:val="00FA20FF"/>
    <w:rsid w:val="00FA31E7"/>
    <w:rsid w:val="00FA4376"/>
    <w:rsid w:val="00FA4861"/>
    <w:rsid w:val="00FA6A20"/>
    <w:rsid w:val="00FB0E2F"/>
    <w:rsid w:val="00FB18D7"/>
    <w:rsid w:val="00FC0929"/>
    <w:rsid w:val="00FC14AB"/>
    <w:rsid w:val="00FC6EEA"/>
    <w:rsid w:val="00FD0C3E"/>
    <w:rsid w:val="00FD326C"/>
    <w:rsid w:val="00FD36E2"/>
    <w:rsid w:val="00FD3B57"/>
    <w:rsid w:val="00FD3FA2"/>
    <w:rsid w:val="00FE0AE3"/>
    <w:rsid w:val="00FE4993"/>
    <w:rsid w:val="00FE5ACF"/>
    <w:rsid w:val="00FE67B4"/>
    <w:rsid w:val="00FE69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CBC987F"/>
  <w15:docId w15:val="{2C8F4A1D-E480-4077-99D8-DE5D89D8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9"/>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100"/>
      <w:jc w:val="both"/>
    </w:pPr>
    <w:rPr>
      <w:sz w:val="20"/>
      <w:szCs w:val="20"/>
    </w:rPr>
  </w:style>
  <w:style w:type="paragraph" w:styleId="Title">
    <w:name w:val="Title"/>
    <w:basedOn w:val="Normal"/>
    <w:uiPriority w:val="10"/>
    <w:qFormat/>
    <w:pPr>
      <w:spacing w:before="82"/>
      <w:ind w:left="100"/>
      <w:jc w:val="both"/>
    </w:pPr>
    <w:rPr>
      <w:b/>
      <w:bCs/>
      <w:sz w:val="24"/>
      <w:szCs w:val="24"/>
    </w:rPr>
  </w:style>
  <w:style w:type="paragraph" w:styleId="ListParagraph">
    <w:name w:val="List Paragraph"/>
    <w:basedOn w:val="Normal"/>
    <w:uiPriority w:val="1"/>
    <w:qFormat/>
    <w:pPr>
      <w:spacing w:before="17"/>
      <w:ind w:left="460" w:hanging="360"/>
    </w:pPr>
  </w:style>
  <w:style w:type="paragraph" w:customStyle="1" w:styleId="TableParagraph">
    <w:name w:val="Table Paragraph"/>
    <w:basedOn w:val="Normal"/>
    <w:uiPriority w:val="1"/>
    <w:qFormat/>
  </w:style>
  <w:style w:type="paragraph" w:styleId="Revision">
    <w:name w:val="Revision"/>
    <w:hidden/>
    <w:uiPriority w:val="99"/>
    <w:semiHidden/>
    <w:rsid w:val="003D7E6F"/>
    <w:pPr>
      <w:widowControl/>
      <w:autoSpaceDE/>
      <w:autoSpaceDN/>
    </w:pPr>
    <w:rPr>
      <w:rFonts w:ascii="Arial" w:eastAsia="Arial" w:hAnsi="Arial" w:cs="Arial"/>
    </w:rPr>
  </w:style>
  <w:style w:type="paragraph" w:styleId="NormalWeb">
    <w:name w:val="Normal (Web)"/>
    <w:basedOn w:val="Normal"/>
    <w:uiPriority w:val="99"/>
    <w:unhideWhenUsed/>
    <w:rsid w:val="000917D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917D9"/>
    <w:rPr>
      <w:b/>
      <w:bCs/>
    </w:rPr>
  </w:style>
  <w:style w:type="paragraph" w:styleId="FootnoteText">
    <w:name w:val="footnote text"/>
    <w:basedOn w:val="Normal"/>
    <w:link w:val="FootnoteTextChar"/>
    <w:uiPriority w:val="99"/>
    <w:semiHidden/>
    <w:unhideWhenUsed/>
    <w:rsid w:val="00FD3FA2"/>
    <w:rPr>
      <w:sz w:val="20"/>
      <w:szCs w:val="20"/>
    </w:rPr>
  </w:style>
  <w:style w:type="character" w:customStyle="1" w:styleId="FootnoteTextChar">
    <w:name w:val="Footnote Text Char"/>
    <w:basedOn w:val="DefaultParagraphFont"/>
    <w:link w:val="FootnoteText"/>
    <w:uiPriority w:val="99"/>
    <w:semiHidden/>
    <w:rsid w:val="00FD3FA2"/>
    <w:rPr>
      <w:rFonts w:ascii="Arial" w:eastAsia="Arial" w:hAnsi="Arial" w:cs="Arial"/>
      <w:sz w:val="20"/>
      <w:szCs w:val="20"/>
    </w:rPr>
  </w:style>
  <w:style w:type="character" w:styleId="FootnoteReference">
    <w:name w:val="footnote reference"/>
    <w:basedOn w:val="DefaultParagraphFont"/>
    <w:uiPriority w:val="99"/>
    <w:semiHidden/>
    <w:unhideWhenUsed/>
    <w:rsid w:val="00FD3FA2"/>
    <w:rPr>
      <w:vertAlign w:val="superscript"/>
    </w:rPr>
  </w:style>
  <w:style w:type="character" w:styleId="Hyperlink">
    <w:name w:val="Hyperlink"/>
    <w:basedOn w:val="DefaultParagraphFont"/>
    <w:uiPriority w:val="99"/>
    <w:unhideWhenUsed/>
    <w:rsid w:val="00B454F8"/>
    <w:rPr>
      <w:color w:val="0000FF"/>
      <w:u w:val="single"/>
    </w:rPr>
  </w:style>
  <w:style w:type="character" w:customStyle="1" w:styleId="animating">
    <w:name w:val="animating"/>
    <w:basedOn w:val="DefaultParagraphFont"/>
    <w:rsid w:val="000B6FA2"/>
  </w:style>
  <w:style w:type="paragraph" w:customStyle="1" w:styleId="animating1">
    <w:name w:val="animating1"/>
    <w:basedOn w:val="Normal"/>
    <w:rsid w:val="000B6FA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EF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696"/>
    <w:rPr>
      <w:sz w:val="16"/>
      <w:szCs w:val="16"/>
    </w:rPr>
  </w:style>
  <w:style w:type="paragraph" w:styleId="CommentText">
    <w:name w:val="annotation text"/>
    <w:basedOn w:val="Normal"/>
    <w:link w:val="CommentTextChar"/>
    <w:uiPriority w:val="99"/>
    <w:unhideWhenUsed/>
    <w:rsid w:val="002B2696"/>
    <w:rPr>
      <w:sz w:val="20"/>
      <w:szCs w:val="20"/>
    </w:rPr>
  </w:style>
  <w:style w:type="character" w:customStyle="1" w:styleId="CommentTextChar">
    <w:name w:val="Comment Text Char"/>
    <w:basedOn w:val="DefaultParagraphFont"/>
    <w:link w:val="CommentText"/>
    <w:uiPriority w:val="99"/>
    <w:rsid w:val="002B269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B2696"/>
    <w:rPr>
      <w:b/>
      <w:bCs/>
    </w:rPr>
  </w:style>
  <w:style w:type="character" w:customStyle="1" w:styleId="CommentSubjectChar">
    <w:name w:val="Comment Subject Char"/>
    <w:basedOn w:val="CommentTextChar"/>
    <w:link w:val="CommentSubject"/>
    <w:uiPriority w:val="99"/>
    <w:semiHidden/>
    <w:rsid w:val="002B2696"/>
    <w:rPr>
      <w:rFonts w:ascii="Arial" w:eastAsia="Arial" w:hAnsi="Arial" w:cs="Arial"/>
      <w:b/>
      <w:bCs/>
      <w:sz w:val="20"/>
      <w:szCs w:val="20"/>
    </w:rPr>
  </w:style>
  <w:style w:type="character" w:styleId="FollowedHyperlink">
    <w:name w:val="FollowedHyperlink"/>
    <w:basedOn w:val="DefaultParagraphFont"/>
    <w:uiPriority w:val="99"/>
    <w:semiHidden/>
    <w:unhideWhenUsed/>
    <w:rsid w:val="00AD1C1C"/>
    <w:rPr>
      <w:color w:val="800080" w:themeColor="followedHyperlink"/>
      <w:u w:val="single"/>
    </w:rPr>
  </w:style>
  <w:style w:type="character" w:customStyle="1" w:styleId="UnresolvedMention1">
    <w:name w:val="Unresolved Mention1"/>
    <w:basedOn w:val="DefaultParagraphFont"/>
    <w:uiPriority w:val="99"/>
    <w:semiHidden/>
    <w:unhideWhenUsed/>
    <w:rsid w:val="00F14446"/>
    <w:rPr>
      <w:color w:val="605E5C"/>
      <w:shd w:val="clear" w:color="auto" w:fill="E1DFDD"/>
    </w:rPr>
  </w:style>
  <w:style w:type="paragraph" w:customStyle="1" w:styleId="xxmsonormal">
    <w:name w:val="x_x_msonormal"/>
    <w:basedOn w:val="Normal"/>
    <w:rsid w:val="00237C8E"/>
    <w:pPr>
      <w:widowControl/>
      <w:autoSpaceDE/>
      <w:autoSpaceDN/>
    </w:pPr>
    <w:rPr>
      <w:rFonts w:ascii="Calibri" w:eastAsiaTheme="minorHAnsi" w:hAnsi="Calibri" w:cs="Calibri"/>
      <w:lang w:val="en-GB" w:eastAsia="en-GB"/>
    </w:rPr>
  </w:style>
  <w:style w:type="paragraph" w:styleId="Header">
    <w:name w:val="header"/>
    <w:basedOn w:val="Normal"/>
    <w:link w:val="HeaderChar"/>
    <w:uiPriority w:val="99"/>
    <w:unhideWhenUsed/>
    <w:rsid w:val="002D224D"/>
    <w:pPr>
      <w:tabs>
        <w:tab w:val="center" w:pos="4513"/>
        <w:tab w:val="right" w:pos="9026"/>
      </w:tabs>
    </w:pPr>
  </w:style>
  <w:style w:type="character" w:customStyle="1" w:styleId="HeaderChar">
    <w:name w:val="Header Char"/>
    <w:basedOn w:val="DefaultParagraphFont"/>
    <w:link w:val="Header"/>
    <w:uiPriority w:val="99"/>
    <w:rsid w:val="002D224D"/>
    <w:rPr>
      <w:rFonts w:ascii="Arial" w:eastAsia="Arial" w:hAnsi="Arial" w:cs="Arial"/>
    </w:rPr>
  </w:style>
  <w:style w:type="paragraph" w:styleId="BalloonText">
    <w:name w:val="Balloon Text"/>
    <w:basedOn w:val="Normal"/>
    <w:link w:val="BalloonTextChar"/>
    <w:uiPriority w:val="99"/>
    <w:semiHidden/>
    <w:unhideWhenUsed/>
    <w:rsid w:val="00993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725"/>
    <w:rPr>
      <w:rFonts w:ascii="Segoe UI" w:eastAsia="Arial" w:hAnsi="Segoe UI" w:cs="Segoe UI"/>
      <w:sz w:val="18"/>
      <w:szCs w:val="18"/>
    </w:rPr>
  </w:style>
  <w:style w:type="paragraph" w:styleId="Footer">
    <w:name w:val="footer"/>
    <w:basedOn w:val="Normal"/>
    <w:link w:val="FooterChar"/>
    <w:uiPriority w:val="99"/>
    <w:unhideWhenUsed/>
    <w:rsid w:val="0040002C"/>
    <w:pPr>
      <w:tabs>
        <w:tab w:val="center" w:pos="4153"/>
        <w:tab w:val="right" w:pos="8306"/>
      </w:tabs>
    </w:pPr>
  </w:style>
  <w:style w:type="character" w:customStyle="1" w:styleId="FooterChar">
    <w:name w:val="Footer Char"/>
    <w:basedOn w:val="DefaultParagraphFont"/>
    <w:link w:val="Footer"/>
    <w:uiPriority w:val="99"/>
    <w:rsid w:val="0040002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5093">
      <w:bodyDiv w:val="1"/>
      <w:marLeft w:val="0"/>
      <w:marRight w:val="0"/>
      <w:marTop w:val="0"/>
      <w:marBottom w:val="0"/>
      <w:divBdr>
        <w:top w:val="none" w:sz="0" w:space="0" w:color="auto"/>
        <w:left w:val="none" w:sz="0" w:space="0" w:color="auto"/>
        <w:bottom w:val="none" w:sz="0" w:space="0" w:color="auto"/>
        <w:right w:val="none" w:sz="0" w:space="0" w:color="auto"/>
      </w:divBdr>
    </w:div>
    <w:div w:id="91246995">
      <w:bodyDiv w:val="1"/>
      <w:marLeft w:val="0"/>
      <w:marRight w:val="0"/>
      <w:marTop w:val="0"/>
      <w:marBottom w:val="0"/>
      <w:divBdr>
        <w:top w:val="none" w:sz="0" w:space="0" w:color="auto"/>
        <w:left w:val="none" w:sz="0" w:space="0" w:color="auto"/>
        <w:bottom w:val="none" w:sz="0" w:space="0" w:color="auto"/>
        <w:right w:val="none" w:sz="0" w:space="0" w:color="auto"/>
      </w:divBdr>
    </w:div>
    <w:div w:id="167792371">
      <w:bodyDiv w:val="1"/>
      <w:marLeft w:val="0"/>
      <w:marRight w:val="0"/>
      <w:marTop w:val="0"/>
      <w:marBottom w:val="0"/>
      <w:divBdr>
        <w:top w:val="none" w:sz="0" w:space="0" w:color="auto"/>
        <w:left w:val="none" w:sz="0" w:space="0" w:color="auto"/>
        <w:bottom w:val="none" w:sz="0" w:space="0" w:color="auto"/>
        <w:right w:val="none" w:sz="0" w:space="0" w:color="auto"/>
      </w:divBdr>
    </w:div>
    <w:div w:id="1179469645">
      <w:bodyDiv w:val="1"/>
      <w:marLeft w:val="0"/>
      <w:marRight w:val="0"/>
      <w:marTop w:val="0"/>
      <w:marBottom w:val="0"/>
      <w:divBdr>
        <w:top w:val="none" w:sz="0" w:space="0" w:color="auto"/>
        <w:left w:val="none" w:sz="0" w:space="0" w:color="auto"/>
        <w:bottom w:val="none" w:sz="0" w:space="0" w:color="auto"/>
        <w:right w:val="none" w:sz="0" w:space="0" w:color="auto"/>
      </w:divBdr>
    </w:div>
    <w:div w:id="1385837210">
      <w:bodyDiv w:val="1"/>
      <w:marLeft w:val="0"/>
      <w:marRight w:val="0"/>
      <w:marTop w:val="0"/>
      <w:marBottom w:val="0"/>
      <w:divBdr>
        <w:top w:val="none" w:sz="0" w:space="0" w:color="auto"/>
        <w:left w:val="none" w:sz="0" w:space="0" w:color="auto"/>
        <w:bottom w:val="none" w:sz="0" w:space="0" w:color="auto"/>
        <w:right w:val="none" w:sz="0" w:space="0" w:color="auto"/>
      </w:divBdr>
    </w:div>
    <w:div w:id="198353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gm.com/documents/fsra/sustainable-finance/abu-dhabi-sustainable-finance-guiding-principles.pdf?la=en&amp;hash=94CC2FE187660C45C522EE845670A6E3"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adgm.com/documents/fsra/sustainable-finance/20221109-sfwg-progress-report-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gm.com/documents/fsra/sustainable-finance/2021-public-statement-on-collaboration-on-sustainable-finance-in-the-UAE.pdf"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83D0-892A-4239-A13C-D28D100C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Kettle</dc:creator>
  <cp:keywords/>
  <dc:description/>
  <cp:lastModifiedBy>Martine Yip</cp:lastModifiedBy>
  <cp:revision>2</cp:revision>
  <dcterms:created xsi:type="dcterms:W3CDTF">2023-12-01T13:36:00Z</dcterms:created>
  <dcterms:modified xsi:type="dcterms:W3CDTF">2023-12-01T13:36:00Z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Microsoft® Word for Microsoft 365</vt:lpwstr>
  </property>
  <property fmtid="{D5CDD505-2E9C-101B-9397-08002B2CF9AE}" pid="4" name="LastSaved">
    <vt:filetime>2023-10-09T00:00:00Z</vt:filetime>
  </property>
  <property fmtid="{D5CDD505-2E9C-101B-9397-08002B2CF9AE}" pid="5" name="Producer">
    <vt:lpwstr>Microsoft® Word for Microsoft 365</vt:lpwstr>
  </property>
  <property fmtid="{D5CDD505-2E9C-101B-9397-08002B2CF9AE}" pid="6" name="MSIP_Label_e53851de-0043-4e99-bccd-301978bf0212_Enabled">
    <vt:lpwstr>true</vt:lpwstr>
  </property>
  <property fmtid="{D5CDD505-2E9C-101B-9397-08002B2CF9AE}" pid="7" name="MSIP_Label_e53851de-0043-4e99-bccd-301978bf0212_SetDate">
    <vt:lpwstr>2023-11-17T09:52:15Z</vt:lpwstr>
  </property>
  <property fmtid="{D5CDD505-2E9C-101B-9397-08002B2CF9AE}" pid="8" name="MSIP_Label_e53851de-0043-4e99-bccd-301978bf0212_Method">
    <vt:lpwstr>Privileged</vt:lpwstr>
  </property>
  <property fmtid="{D5CDD505-2E9C-101B-9397-08002B2CF9AE}" pid="9" name="MSIP_Label_e53851de-0043-4e99-bccd-301978bf0212_Name">
    <vt:lpwstr>ConfidentialExternal</vt:lpwstr>
  </property>
  <property fmtid="{D5CDD505-2E9C-101B-9397-08002B2CF9AE}" pid="10" name="MSIP_Label_e53851de-0043-4e99-bccd-301978bf0212_SiteId">
    <vt:lpwstr>bed3e5f2-7ecb-43c2-b745-c55269a441e6</vt:lpwstr>
  </property>
  <property fmtid="{D5CDD505-2E9C-101B-9397-08002B2CF9AE}" pid="11" name="MSIP_Label_e53851de-0043-4e99-bccd-301978bf0212_ActionId">
    <vt:lpwstr>a4b0c7de-ee58-42b8-8ee0-493212fbaf77</vt:lpwstr>
  </property>
  <property fmtid="{D5CDD505-2E9C-101B-9397-08002B2CF9AE}" pid="12" name="MSIP_Label_e53851de-0043-4e99-bccd-301978bf0212_ContentBits">
    <vt:lpwstr>5</vt:lpwstr>
  </property>
  <property fmtid="{D5CDD505-2E9C-101B-9397-08002B2CF9AE}" pid="13" name="MSIP_Label_1d9e9404-3739-4dbf-9fa8-b6ae9df09a7a_Enabled">
    <vt:lpwstr>true</vt:lpwstr>
  </property>
  <property fmtid="{D5CDD505-2E9C-101B-9397-08002B2CF9AE}" pid="14" name="MSIP_Label_1d9e9404-3739-4dbf-9fa8-b6ae9df09a7a_SetDate">
    <vt:lpwstr>2023-11-20T11:05:42Z</vt:lpwstr>
  </property>
  <property fmtid="{D5CDD505-2E9C-101B-9397-08002B2CF9AE}" pid="15" name="MSIP_Label_1d9e9404-3739-4dbf-9fa8-b6ae9df09a7a_Method">
    <vt:lpwstr>Standard</vt:lpwstr>
  </property>
  <property fmtid="{D5CDD505-2E9C-101B-9397-08002B2CF9AE}" pid="16" name="MSIP_Label_1d9e9404-3739-4dbf-9fa8-b6ae9df09a7a_Name">
    <vt:lpwstr>Personal</vt:lpwstr>
  </property>
  <property fmtid="{D5CDD505-2E9C-101B-9397-08002B2CF9AE}" pid="17" name="MSIP_Label_1d9e9404-3739-4dbf-9fa8-b6ae9df09a7a_SiteId">
    <vt:lpwstr>fba6ee03-9647-4c58-86a3-db85ac6de45e</vt:lpwstr>
  </property>
  <property fmtid="{D5CDD505-2E9C-101B-9397-08002B2CF9AE}" pid="18" name="MSIP_Label_1d9e9404-3739-4dbf-9fa8-b6ae9df09a7a_ActionId">
    <vt:lpwstr>e9ecb4b8-0ef2-4b2b-a6e7-7e4d3ed7aafe</vt:lpwstr>
  </property>
  <property fmtid="{D5CDD505-2E9C-101B-9397-08002B2CF9AE}" pid="19" name="MSIP_Label_1d9e9404-3739-4dbf-9fa8-b6ae9df09a7a_ContentBits">
    <vt:lpwstr>1</vt:lpwstr>
  </property>
</Properties>
</file>