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58" w:rsidRPr="00EA7776" w:rsidRDefault="00EA77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szCs w:val="20"/>
          <w:lang w:val="en-US"/>
        </w:rPr>
      </w:pPr>
      <w:r w:rsidRPr="00D54EB8">
        <w:rPr>
          <w:rFonts w:ascii="Arial" w:eastAsia="Times New Roman" w:hAnsi="Arial" w:cs="Arial"/>
          <w:b/>
          <w:bCs/>
          <w:color w:val="C00000"/>
          <w:sz w:val="28"/>
          <w:szCs w:val="28"/>
          <w:lang w:val="en-US"/>
        </w:rPr>
        <w:t>Passported</w:t>
      </w:r>
      <w:r>
        <w:rPr>
          <w:rFonts w:ascii="Arial" w:eastAsia="Times New Roman" w:hAnsi="Arial" w:cs="Arial"/>
          <w:b/>
          <w:bCs/>
          <w:color w:val="C00000"/>
          <w:szCs w:val="20"/>
          <w:lang w:val="en-US"/>
        </w:rPr>
        <w:t xml:space="preserve"> </w:t>
      </w:r>
      <w:r w:rsidR="00C748BE" w:rsidRPr="00D54EB8">
        <w:rPr>
          <w:rFonts w:ascii="Arial" w:eastAsia="Times New Roman" w:hAnsi="Arial" w:cs="Arial"/>
          <w:b/>
          <w:bCs/>
          <w:color w:val="C00000"/>
          <w:sz w:val="28"/>
          <w:szCs w:val="28"/>
          <w:lang w:val="en-US"/>
        </w:rPr>
        <w:t>Public</w:t>
      </w:r>
      <w:r w:rsidR="00C748BE" w:rsidRPr="00EA7776">
        <w:rPr>
          <w:rFonts w:ascii="Arial" w:eastAsia="Times New Roman" w:hAnsi="Arial" w:cs="Arial"/>
          <w:b/>
          <w:bCs/>
          <w:color w:val="C00000"/>
          <w:szCs w:val="20"/>
          <w:lang w:val="en-US"/>
        </w:rPr>
        <w:t xml:space="preserve"> </w:t>
      </w:r>
      <w:r w:rsidR="00C748BE" w:rsidRPr="00D54EB8">
        <w:rPr>
          <w:rFonts w:ascii="Arial" w:eastAsia="Times New Roman" w:hAnsi="Arial" w:cs="Arial"/>
          <w:b/>
          <w:bCs/>
          <w:color w:val="C00000"/>
          <w:sz w:val="28"/>
          <w:szCs w:val="28"/>
          <w:lang w:val="en-US"/>
        </w:rPr>
        <w:t>Fund</w:t>
      </w:r>
      <w:r w:rsidR="00C748BE" w:rsidRPr="00EA7776">
        <w:rPr>
          <w:rFonts w:ascii="Arial" w:eastAsia="Times New Roman" w:hAnsi="Arial" w:cs="Arial"/>
          <w:b/>
          <w:bCs/>
          <w:color w:val="C00000"/>
          <w:szCs w:val="20"/>
          <w:lang w:val="en-US"/>
        </w:rPr>
        <w:t xml:space="preserve"> </w:t>
      </w:r>
      <w:r w:rsidR="00C748BE" w:rsidRPr="00D54EB8">
        <w:rPr>
          <w:rFonts w:ascii="Arial" w:eastAsia="Times New Roman" w:hAnsi="Arial" w:cs="Arial"/>
          <w:b/>
          <w:bCs/>
          <w:color w:val="C00000"/>
          <w:sz w:val="28"/>
          <w:szCs w:val="28"/>
          <w:lang w:val="en-US"/>
        </w:rPr>
        <w:t>Prospectus</w:t>
      </w:r>
      <w:r w:rsidR="00C748BE" w:rsidRPr="00EA7776">
        <w:rPr>
          <w:rFonts w:ascii="Arial" w:eastAsia="Times New Roman" w:hAnsi="Arial" w:cs="Arial"/>
          <w:b/>
          <w:bCs/>
          <w:color w:val="C00000"/>
          <w:szCs w:val="20"/>
          <w:lang w:val="en-US"/>
        </w:rPr>
        <w:t xml:space="preserve"> </w:t>
      </w:r>
      <w:r w:rsidR="00C748BE" w:rsidRPr="00D54EB8">
        <w:rPr>
          <w:rFonts w:ascii="Arial" w:eastAsia="Times New Roman" w:hAnsi="Arial" w:cs="Arial"/>
          <w:b/>
          <w:bCs/>
          <w:color w:val="C00000"/>
          <w:sz w:val="28"/>
          <w:szCs w:val="28"/>
          <w:lang w:val="en-US"/>
        </w:rPr>
        <w:t>Disclosure</w:t>
      </w:r>
      <w:r w:rsidR="00C3101D" w:rsidRPr="00EA7776">
        <w:rPr>
          <w:rFonts w:ascii="Arial" w:eastAsia="Times New Roman" w:hAnsi="Arial" w:cs="Arial"/>
          <w:b/>
          <w:bCs/>
          <w:color w:val="C00000"/>
          <w:szCs w:val="20"/>
          <w:lang w:val="en-US"/>
        </w:rPr>
        <w:t xml:space="preserve"> </w:t>
      </w:r>
      <w:r w:rsidR="00C3101D" w:rsidRPr="00D54EB8">
        <w:rPr>
          <w:rFonts w:ascii="Arial" w:eastAsia="Times New Roman" w:hAnsi="Arial" w:cs="Arial"/>
          <w:b/>
          <w:bCs/>
          <w:color w:val="C00000"/>
          <w:sz w:val="28"/>
          <w:szCs w:val="28"/>
          <w:lang w:val="en-US"/>
        </w:rPr>
        <w:t>Checklist</w:t>
      </w:r>
    </w:p>
    <w:p w:rsidR="00934CF6" w:rsidRPr="00EA7776" w:rsidRDefault="00934C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szCs w:val="20"/>
          <w:lang w:val="en-US"/>
        </w:rPr>
      </w:pPr>
    </w:p>
    <w:p w:rsidR="00934CF6" w:rsidRPr="00E50304" w:rsidRDefault="00934CF6" w:rsidP="00934CF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</w:pPr>
      <w:r w:rsidRPr="00E50304">
        <w:rPr>
          <w:rFonts w:ascii="Arial" w:eastAsia="Times New Roman" w:hAnsi="Arial" w:cs="Arial"/>
          <w:b/>
          <w:bCs/>
          <w:sz w:val="24"/>
          <w:szCs w:val="24"/>
          <w:lang w:val="en-US"/>
        </w:rPr>
        <w:t>Please submit this completed Checklist to</w:t>
      </w:r>
      <w:r w:rsidRPr="00E50304">
        <w:rPr>
          <w:rFonts w:ascii="Arial" w:eastAsia="Times New Roman" w:hAnsi="Arial" w:cs="Arial"/>
          <w:b/>
          <w:bCs/>
          <w:color w:val="C00000"/>
          <w:sz w:val="24"/>
          <w:szCs w:val="24"/>
          <w:lang w:val="en-US"/>
        </w:rPr>
        <w:t xml:space="preserve"> </w:t>
      </w:r>
      <w:hyperlink r:id="rId7" w:history="1">
        <w:r w:rsidRPr="00E5030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/>
          </w:rPr>
          <w:t>DFSAfunds@dfsa.ae</w:t>
        </w:r>
      </w:hyperlink>
    </w:p>
    <w:p w:rsidR="00054858" w:rsidRPr="00EA7776" w:rsidRDefault="00054858" w:rsidP="00A8452C">
      <w:pPr>
        <w:spacing w:after="0"/>
        <w:rPr>
          <w:rFonts w:ascii="Arial" w:eastAsia="Times New Roman" w:hAnsi="Arial" w:cs="Arial"/>
          <w:szCs w:val="20"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5"/>
        <w:gridCol w:w="3936"/>
      </w:tblGrid>
      <w:tr w:rsidR="00054858" w:rsidRPr="00EA7776" w:rsidTr="00A8452C">
        <w:trPr>
          <w:cantSplit/>
          <w:tblHeader/>
        </w:trPr>
        <w:tc>
          <w:tcPr>
            <w:tcW w:w="4995" w:type="dxa"/>
            <w:shd w:val="clear" w:color="auto" w:fill="FFFFFF"/>
            <w:tcMar>
              <w:top w:w="57" w:type="dxa"/>
            </w:tcMar>
          </w:tcPr>
          <w:p w:rsidR="00054858" w:rsidRPr="00E50304" w:rsidRDefault="00C3101D">
            <w:pPr>
              <w:tabs>
                <w:tab w:val="right" w:leader="dot" w:pos="1451"/>
              </w:tabs>
              <w:spacing w:before="60" w:after="60" w:line="240" w:lineRule="auto"/>
              <w:rPr>
                <w:rFonts w:ascii="Arial" w:eastAsia="MS Mincho" w:hAnsi="Arial" w:cs="Arial"/>
                <w:sz w:val="22"/>
                <w:lang w:eastAsia="zh-CN"/>
              </w:rPr>
            </w:pPr>
            <w:r w:rsidRPr="00E50304">
              <w:rPr>
                <w:rFonts w:ascii="Arial" w:eastAsia="MS Mincho" w:hAnsi="Arial" w:cs="Arial"/>
                <w:sz w:val="22"/>
                <w:lang w:eastAsia="zh-CN"/>
              </w:rPr>
              <w:t xml:space="preserve">Name of Applicant </w:t>
            </w:r>
          </w:p>
        </w:tc>
        <w:tc>
          <w:tcPr>
            <w:tcW w:w="3936" w:type="dxa"/>
            <w:shd w:val="clear" w:color="auto" w:fill="FFFFFF"/>
            <w:tcMar>
              <w:top w:w="57" w:type="dxa"/>
            </w:tcMar>
          </w:tcPr>
          <w:p w:rsidR="00054858" w:rsidRPr="00E50304" w:rsidRDefault="00054858">
            <w:pPr>
              <w:spacing w:before="40" w:after="40" w:line="240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</w:p>
        </w:tc>
      </w:tr>
      <w:tr w:rsidR="00054858" w:rsidRPr="00EA7776" w:rsidTr="00A8452C">
        <w:trPr>
          <w:cantSplit/>
          <w:tblHeader/>
        </w:trPr>
        <w:tc>
          <w:tcPr>
            <w:tcW w:w="4995" w:type="dxa"/>
            <w:shd w:val="clear" w:color="auto" w:fill="FFFFFF"/>
            <w:tcMar>
              <w:top w:w="57" w:type="dxa"/>
            </w:tcMar>
          </w:tcPr>
          <w:p w:rsidR="00054858" w:rsidRPr="00E50304" w:rsidRDefault="00C3101D">
            <w:pPr>
              <w:tabs>
                <w:tab w:val="right" w:leader="dot" w:pos="1451"/>
              </w:tabs>
              <w:spacing w:before="60" w:after="60" w:line="240" w:lineRule="auto"/>
              <w:rPr>
                <w:rFonts w:ascii="Arial" w:eastAsia="MS Mincho" w:hAnsi="Arial" w:cs="Arial"/>
                <w:sz w:val="22"/>
                <w:lang w:eastAsia="zh-CN"/>
              </w:rPr>
            </w:pPr>
            <w:r w:rsidRPr="00E50304">
              <w:rPr>
                <w:rFonts w:ascii="Arial" w:eastAsia="MS Mincho" w:hAnsi="Arial" w:cs="Arial"/>
                <w:sz w:val="22"/>
                <w:lang w:eastAsia="zh-CN"/>
              </w:rPr>
              <w:t>Nature of Transaction</w:t>
            </w:r>
          </w:p>
        </w:tc>
        <w:tc>
          <w:tcPr>
            <w:tcW w:w="3936" w:type="dxa"/>
            <w:shd w:val="clear" w:color="auto" w:fill="FFFFFF"/>
            <w:tcMar>
              <w:top w:w="57" w:type="dxa"/>
            </w:tcMar>
          </w:tcPr>
          <w:p w:rsidR="00054858" w:rsidRPr="00E50304" w:rsidRDefault="00054858">
            <w:pPr>
              <w:spacing w:before="40" w:after="40" w:line="240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</w:p>
        </w:tc>
      </w:tr>
      <w:tr w:rsidR="00054858" w:rsidRPr="00EA7776" w:rsidTr="00A8452C">
        <w:trPr>
          <w:cantSplit/>
          <w:tblHeader/>
        </w:trPr>
        <w:tc>
          <w:tcPr>
            <w:tcW w:w="4995" w:type="dxa"/>
            <w:shd w:val="clear" w:color="auto" w:fill="FFFFFF"/>
            <w:tcMar>
              <w:top w:w="57" w:type="dxa"/>
            </w:tcMar>
          </w:tcPr>
          <w:p w:rsidR="00054858" w:rsidRPr="00E50304" w:rsidRDefault="00C3101D">
            <w:pPr>
              <w:tabs>
                <w:tab w:val="right" w:leader="dot" w:pos="1451"/>
              </w:tabs>
              <w:spacing w:before="60" w:after="60" w:line="240" w:lineRule="auto"/>
              <w:rPr>
                <w:rFonts w:ascii="Arial" w:eastAsia="MS Mincho" w:hAnsi="Arial" w:cs="Arial"/>
                <w:sz w:val="22"/>
                <w:lang w:eastAsia="zh-CN"/>
              </w:rPr>
            </w:pPr>
            <w:r w:rsidRPr="00E50304">
              <w:rPr>
                <w:rFonts w:ascii="Arial" w:eastAsia="MS Mincho" w:hAnsi="Arial" w:cs="Arial"/>
                <w:sz w:val="22"/>
                <w:lang w:eastAsia="zh-CN"/>
              </w:rPr>
              <w:t>Date Submitted</w:t>
            </w:r>
          </w:p>
        </w:tc>
        <w:tc>
          <w:tcPr>
            <w:tcW w:w="3936" w:type="dxa"/>
            <w:shd w:val="clear" w:color="auto" w:fill="FFFFFF"/>
            <w:tcMar>
              <w:top w:w="57" w:type="dxa"/>
            </w:tcMar>
          </w:tcPr>
          <w:p w:rsidR="00054858" w:rsidRPr="00E50304" w:rsidRDefault="00054858">
            <w:pPr>
              <w:spacing w:before="40" w:after="40" w:line="240" w:lineRule="auto"/>
              <w:rPr>
                <w:rFonts w:ascii="Arial" w:eastAsia="Times New Roman" w:hAnsi="Arial" w:cs="Arial"/>
                <w:sz w:val="22"/>
                <w:lang w:eastAsia="en-GB"/>
              </w:rPr>
            </w:pPr>
          </w:p>
        </w:tc>
      </w:tr>
    </w:tbl>
    <w:p w:rsidR="00054858" w:rsidRPr="00EA7776" w:rsidRDefault="00054858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5F323F" w:rsidRPr="00EA7776" w:rsidRDefault="005F323F" w:rsidP="001F651F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val="en-US"/>
        </w:rPr>
      </w:pPr>
      <w:r w:rsidRPr="00EA7776">
        <w:rPr>
          <w:rFonts w:ascii="Arial" w:eastAsia="Times New Roman" w:hAnsi="Arial" w:cs="Arial"/>
          <w:bCs/>
          <w:szCs w:val="20"/>
          <w:lang w:val="en-US"/>
        </w:rPr>
        <w:t xml:space="preserve">Terms used in this checklist have the same meaning as set out </w:t>
      </w:r>
      <w:r w:rsidR="00A91E9F" w:rsidRPr="00EA7776">
        <w:rPr>
          <w:rFonts w:ascii="Arial" w:eastAsia="Times New Roman" w:hAnsi="Arial" w:cs="Arial"/>
          <w:bCs/>
          <w:szCs w:val="20"/>
          <w:lang w:val="en-US"/>
        </w:rPr>
        <w:t xml:space="preserve">in </w:t>
      </w:r>
      <w:r w:rsidRPr="00EA7776">
        <w:rPr>
          <w:rFonts w:ascii="Arial" w:eastAsia="Times New Roman" w:hAnsi="Arial" w:cs="Arial"/>
          <w:bCs/>
          <w:szCs w:val="20"/>
          <w:lang w:val="en-US"/>
        </w:rPr>
        <w:t xml:space="preserve">the </w:t>
      </w:r>
      <w:r w:rsidR="00A91E9F" w:rsidRPr="00EA7776">
        <w:rPr>
          <w:rFonts w:ascii="Arial" w:eastAsia="Times New Roman" w:hAnsi="Arial" w:cs="Arial"/>
          <w:bCs/>
          <w:szCs w:val="20"/>
          <w:lang w:val="en-US"/>
        </w:rPr>
        <w:t xml:space="preserve">Fund Protocol Rules (FPR) and </w:t>
      </w:r>
      <w:r w:rsidRPr="00EA7776">
        <w:rPr>
          <w:rFonts w:ascii="Arial" w:eastAsia="Times New Roman" w:hAnsi="Arial" w:cs="Arial"/>
          <w:bCs/>
          <w:szCs w:val="20"/>
          <w:lang w:val="en-US"/>
        </w:rPr>
        <w:t>Collective Investment Rules (CIR) Module of the DFSA Rulebook</w:t>
      </w:r>
      <w:r w:rsidR="001F651F">
        <w:rPr>
          <w:rFonts w:ascii="Arial" w:eastAsia="Times New Roman" w:hAnsi="Arial" w:cs="Arial"/>
          <w:bCs/>
          <w:szCs w:val="20"/>
          <w:lang w:val="en-US"/>
        </w:rPr>
        <w:t>.</w:t>
      </w:r>
    </w:p>
    <w:p w:rsidR="005F323F" w:rsidRPr="00EA7776" w:rsidRDefault="005F323F" w:rsidP="00A8452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val="en-US"/>
        </w:rPr>
      </w:pPr>
    </w:p>
    <w:p w:rsidR="00036E20" w:rsidRPr="00E50304" w:rsidRDefault="00A91E9F" w:rsidP="00A8452C">
      <w:pPr>
        <w:pStyle w:val="BodyTextNumbered"/>
        <w:numPr>
          <w:ilvl w:val="0"/>
          <w:numId w:val="0"/>
        </w:numPr>
        <w:jc w:val="both"/>
        <w:rPr>
          <w:rFonts w:ascii="Arial" w:eastAsiaTheme="majorEastAsia" w:hAnsi="Arial" w:cs="Arial"/>
          <w:b/>
          <w:sz w:val="22"/>
          <w:szCs w:val="22"/>
        </w:rPr>
      </w:pPr>
      <w:r w:rsidRPr="00E50304">
        <w:rPr>
          <w:rFonts w:ascii="Arial" w:eastAsiaTheme="majorEastAsia" w:hAnsi="Arial" w:cs="Arial"/>
          <w:b/>
          <w:sz w:val="22"/>
          <w:szCs w:val="22"/>
        </w:rPr>
        <w:t>MINIMUM REQUIREMENTS FOR PUBLIC FUNDS</w:t>
      </w:r>
    </w:p>
    <w:p w:rsidR="00A91E9F" w:rsidRPr="00EA7776" w:rsidRDefault="00A91E9F" w:rsidP="00A8452C">
      <w:pPr>
        <w:pStyle w:val="BodyTextNumbered"/>
        <w:numPr>
          <w:ilvl w:val="0"/>
          <w:numId w:val="0"/>
        </w:numPr>
        <w:jc w:val="both"/>
        <w:rPr>
          <w:rFonts w:ascii="Arial" w:eastAsiaTheme="majorEastAsia" w:hAnsi="Arial" w:cs="Arial"/>
          <w:szCs w:val="20"/>
        </w:rPr>
      </w:pPr>
      <w:r w:rsidRPr="00EA7776">
        <w:rPr>
          <w:rFonts w:ascii="Arial" w:hAnsi="Arial" w:cs="Arial"/>
          <w:bCs/>
          <w:szCs w:val="20"/>
        </w:rPr>
        <w:t>As per FPR A1.1.2 t</w:t>
      </w:r>
      <w:r w:rsidRPr="00EA7776">
        <w:rPr>
          <w:rFonts w:ascii="Arial" w:hAnsi="Arial" w:cs="Arial"/>
          <w:szCs w:val="20"/>
        </w:rPr>
        <w:t>he Prospectus for a Passported Fund that is a Public Fund must contain, at a minimum, the information prescribed in the following table.</w:t>
      </w:r>
    </w:p>
    <w:p w:rsidR="00A91E9F" w:rsidRPr="00EA7776" w:rsidRDefault="00A91E9F" w:rsidP="00BA3EA6">
      <w:pPr>
        <w:pStyle w:val="BodyTextNumbered"/>
        <w:numPr>
          <w:ilvl w:val="0"/>
          <w:numId w:val="0"/>
        </w:numPr>
        <w:jc w:val="both"/>
        <w:rPr>
          <w:rFonts w:ascii="Arial" w:hAnsi="Arial" w:cs="Arial"/>
          <w:szCs w:val="20"/>
        </w:rPr>
      </w:pPr>
      <w:r w:rsidRPr="00EA7776">
        <w:rPr>
          <w:rFonts w:ascii="Arial" w:hAnsi="Arial" w:cs="Arial"/>
          <w:szCs w:val="20"/>
        </w:rPr>
        <w:t xml:space="preserve">The Rules in </w:t>
      </w:r>
      <w:r w:rsidR="00673C78">
        <w:rPr>
          <w:rFonts w:ascii="Arial" w:hAnsi="Arial" w:cs="Arial"/>
          <w:szCs w:val="20"/>
        </w:rPr>
        <w:t xml:space="preserve">the </w:t>
      </w:r>
      <w:r w:rsidR="00EA7776" w:rsidRPr="00EA7776">
        <w:rPr>
          <w:rFonts w:ascii="Arial" w:hAnsi="Arial" w:cs="Arial"/>
          <w:szCs w:val="20"/>
        </w:rPr>
        <w:t xml:space="preserve">FPR </w:t>
      </w:r>
      <w:r w:rsidR="00BA3EA6">
        <w:rPr>
          <w:rFonts w:ascii="Arial" w:hAnsi="Arial" w:cs="Arial"/>
          <w:szCs w:val="20"/>
        </w:rPr>
        <w:t xml:space="preserve">Module </w:t>
      </w:r>
      <w:r w:rsidRPr="00EA7776">
        <w:rPr>
          <w:rFonts w:ascii="Arial" w:hAnsi="Arial" w:cs="Arial"/>
          <w:szCs w:val="20"/>
        </w:rPr>
        <w:t xml:space="preserve">do not require an additional Prospectus to be made available for a Public Fund that is domiciled in the DIFC. If the Fund has a Prospectus that complies with the Rules in CIR, a Fund Manager would comply with </w:t>
      </w:r>
      <w:r w:rsidR="00EA7776">
        <w:rPr>
          <w:rFonts w:ascii="Arial" w:hAnsi="Arial" w:cs="Arial"/>
          <w:szCs w:val="20"/>
        </w:rPr>
        <w:t xml:space="preserve">FPR </w:t>
      </w:r>
      <w:r w:rsidRPr="00EA7776">
        <w:rPr>
          <w:rFonts w:ascii="Arial" w:hAnsi="Arial" w:cs="Arial"/>
          <w:szCs w:val="20"/>
        </w:rPr>
        <w:t xml:space="preserve">A1.1.2 if it amends its Prospectus so as to include the additional minimum content required under </w:t>
      </w:r>
      <w:r w:rsidR="00BA3EA6">
        <w:rPr>
          <w:rFonts w:ascii="Arial" w:hAnsi="Arial" w:cs="Arial"/>
          <w:szCs w:val="20"/>
        </w:rPr>
        <w:t>FPR A1.1.2</w:t>
      </w:r>
      <w:r w:rsidRPr="00EA7776">
        <w:rPr>
          <w:rFonts w:ascii="Arial" w:hAnsi="Arial" w:cs="Arial"/>
          <w:szCs w:val="20"/>
        </w:rPr>
        <w:t xml:space="preserve"> that is not required under CIR.</w:t>
      </w:r>
    </w:p>
    <w:p w:rsidR="00A91E9F" w:rsidRPr="00EA7776" w:rsidRDefault="00A91E9F" w:rsidP="00A8452C">
      <w:pPr>
        <w:pStyle w:val="BodyTextNumbered"/>
        <w:numPr>
          <w:ilvl w:val="0"/>
          <w:numId w:val="0"/>
        </w:numPr>
        <w:jc w:val="both"/>
        <w:rPr>
          <w:rFonts w:ascii="Arial" w:eastAsiaTheme="majorEastAsia" w:hAnsi="Arial" w:cs="Arial"/>
          <w:szCs w:val="20"/>
        </w:rPr>
      </w:pPr>
      <w:r w:rsidRPr="00EA7776">
        <w:rPr>
          <w:rFonts w:ascii="Arial" w:hAnsi="Arial" w:cs="Arial"/>
          <w:szCs w:val="20"/>
        </w:rPr>
        <w:t xml:space="preserve">The Prospectus for a Passported Fund must be made available in English. The Key Investor Information Document (KIID) referred to in the table in </w:t>
      </w:r>
      <w:r w:rsidR="00EA7776">
        <w:rPr>
          <w:rFonts w:ascii="Arial" w:hAnsi="Arial" w:cs="Arial"/>
          <w:szCs w:val="20"/>
        </w:rPr>
        <w:t xml:space="preserve">FPR </w:t>
      </w:r>
      <w:r w:rsidRPr="00EA7776">
        <w:rPr>
          <w:rFonts w:ascii="Arial" w:hAnsi="Arial" w:cs="Arial"/>
          <w:szCs w:val="20"/>
        </w:rPr>
        <w:t>A1.1.2 must be made available in both English and Arabic.</w:t>
      </w:r>
    </w:p>
    <w:tbl>
      <w:tblPr>
        <w:tblStyle w:val="TableGrid"/>
        <w:tblW w:w="9029" w:type="dxa"/>
        <w:tblInd w:w="-103" w:type="dxa"/>
        <w:tblLook w:val="04A0" w:firstRow="1" w:lastRow="0" w:firstColumn="1" w:lastColumn="0" w:noHBand="0" w:noVBand="1"/>
      </w:tblPr>
      <w:tblGrid>
        <w:gridCol w:w="440"/>
        <w:gridCol w:w="5187"/>
        <w:gridCol w:w="1559"/>
        <w:gridCol w:w="1843"/>
      </w:tblGrid>
      <w:tr w:rsidR="00842165" w:rsidRPr="00EA7776" w:rsidTr="00333AA3">
        <w:tc>
          <w:tcPr>
            <w:tcW w:w="440" w:type="dxa"/>
            <w:shd w:val="clear" w:color="auto" w:fill="D9D9D9" w:themeFill="background1" w:themeFillShade="D9"/>
          </w:tcPr>
          <w:p w:rsidR="00842165" w:rsidRPr="00A30EE4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142" w:right="-142"/>
              <w:rPr>
                <w:rFonts w:ascii="Arial" w:eastAsiaTheme="majorEastAsia" w:hAnsi="Arial" w:cs="Arial"/>
                <w:b/>
                <w:szCs w:val="20"/>
              </w:rPr>
            </w:pPr>
          </w:p>
        </w:tc>
        <w:tc>
          <w:tcPr>
            <w:tcW w:w="5187" w:type="dxa"/>
            <w:shd w:val="clear" w:color="auto" w:fill="D9D9D9" w:themeFill="background1" w:themeFillShade="D9"/>
          </w:tcPr>
          <w:p w:rsidR="00842165" w:rsidRPr="00A30EE4" w:rsidRDefault="00842165" w:rsidP="00842165">
            <w:pPr>
              <w:spacing w:after="0" w:line="240" w:lineRule="auto"/>
              <w:rPr>
                <w:rFonts w:ascii="Arial" w:eastAsia="Times New Roman" w:hAnsi="Arial" w:cs="Times New Roman"/>
                <w:b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szCs w:val="20"/>
                <w:lang w:val="en-US"/>
              </w:rPr>
              <w:t>Content Requirement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42165" w:rsidRDefault="00842165" w:rsidP="0045213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Page </w:t>
            </w:r>
            <w:r w:rsidR="00452137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Paragraph Reference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42165" w:rsidRDefault="00842165" w:rsidP="00842165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Comment</w:t>
            </w: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b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szCs w:val="20"/>
              </w:rPr>
              <w:t>Document Status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szCs w:val="20"/>
              </w:rPr>
            </w:pPr>
            <w:r w:rsidRPr="00EA7776">
              <w:rPr>
                <w:rFonts w:ascii="Arial" w:eastAsiaTheme="majorEastAsia" w:hAnsi="Arial" w:cs="Arial"/>
                <w:szCs w:val="20"/>
              </w:rPr>
              <w:t xml:space="preserve">A statement that this document is the </w:t>
            </w:r>
            <w:r w:rsidRPr="00787160">
              <w:rPr>
                <w:rFonts w:ascii="Arial" w:hAnsi="Arial" w:cs="Arial"/>
                <w:iCs/>
                <w:szCs w:val="20"/>
                <w:lang w:val="en-GB"/>
              </w:rPr>
              <w:t>Prospectus</w:t>
            </w:r>
            <w:r w:rsidRPr="00EA7776">
              <w:rPr>
                <w:rFonts w:ascii="Arial" w:eastAsiaTheme="majorEastAsia" w:hAnsi="Arial" w:cs="Arial"/>
                <w:szCs w:val="20"/>
              </w:rPr>
              <w:t xml:space="preserve"> of the Public Fund and is valid as at a particular date which shall be the date of the </w:t>
            </w:r>
            <w:r w:rsidRPr="00787160">
              <w:rPr>
                <w:rFonts w:ascii="Arial" w:hAnsi="Arial" w:cs="Arial"/>
                <w:iCs/>
                <w:szCs w:val="20"/>
                <w:lang w:val="en-GB"/>
              </w:rPr>
              <w:t>Prospectus</w:t>
            </w:r>
            <w:r w:rsidRPr="00EA7776">
              <w:rPr>
                <w:rFonts w:ascii="Arial" w:eastAsiaTheme="majorEastAsia" w:hAnsi="Arial" w:cs="Arial"/>
                <w:szCs w:val="20"/>
              </w:rPr>
              <w:t>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szCs w:val="20"/>
              </w:rPr>
              <w:t xml:space="preserve">Description of the </w:t>
            </w:r>
            <w:r w:rsidRPr="00787160">
              <w:rPr>
                <w:rFonts w:ascii="Arial" w:eastAsiaTheme="majorEastAsia" w:hAnsi="Arial" w:cs="Arial"/>
                <w:b/>
                <w:iCs/>
                <w:szCs w:val="20"/>
              </w:rPr>
              <w:t>Fund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right="-142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  <w:r w:rsidRPr="00EA7776">
              <w:rPr>
                <w:rFonts w:ascii="Arial" w:eastAsiaTheme="majorEastAsia" w:hAnsi="Arial" w:cs="Arial"/>
                <w:szCs w:val="20"/>
              </w:rPr>
              <w:t>Information detailing:</w:t>
            </w:r>
          </w:p>
          <w:p w:rsidR="00842165" w:rsidRPr="00EA7776" w:rsidRDefault="00842165" w:rsidP="00684511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name of the Public Fund and the fact that it is a Public Fund established in the </w:t>
            </w:r>
            <w:r w:rsidR="00684511">
              <w:rPr>
                <w:rFonts w:ascii="Arial" w:hAnsi="Arial" w:cs="Arial"/>
                <w:szCs w:val="20"/>
              </w:rPr>
              <w:t xml:space="preserve">DIFC; 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effective date of commencement of the Public Fund's operations and, if the duration of the Public Fund is not unlimited, when it will or may terminate;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legal structure of the Public Fund;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basis upon which persons are eligible to participate in the Public Fund and, where applicable, the minimum initial investment;</w:t>
            </w:r>
          </w:p>
          <w:p w:rsidR="00842165" w:rsidRPr="00EA7776" w:rsidRDefault="00842165" w:rsidP="00D20324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that the </w:t>
            </w:r>
            <w:r w:rsidRPr="00787160">
              <w:rPr>
                <w:rFonts w:ascii="Arial" w:hAnsi="Arial" w:cs="Arial"/>
                <w:iCs w:val="0"/>
                <w:szCs w:val="20"/>
              </w:rPr>
              <w:t>Unitholders</w:t>
            </w:r>
            <w:r w:rsidRPr="00EA7776">
              <w:rPr>
                <w:rFonts w:ascii="Arial" w:hAnsi="Arial" w:cs="Arial"/>
                <w:szCs w:val="20"/>
              </w:rPr>
              <w:t xml:space="preserve"> are not liable for the debts of the Public Fund, unless the applicable legislation in the </w:t>
            </w:r>
            <w:r w:rsidR="00D20324">
              <w:rPr>
                <w:rFonts w:ascii="Arial" w:hAnsi="Arial" w:cs="Arial"/>
                <w:szCs w:val="20"/>
              </w:rPr>
              <w:t>DIFC</w:t>
            </w:r>
            <w:r w:rsidR="004E0EFA">
              <w:rPr>
                <w:rFonts w:ascii="Arial" w:hAnsi="Arial" w:cs="Arial"/>
                <w:szCs w:val="20"/>
              </w:rPr>
              <w:t xml:space="preserve"> </w:t>
            </w:r>
            <w:r w:rsidRPr="00EA7776">
              <w:rPr>
                <w:rFonts w:ascii="Arial" w:hAnsi="Arial" w:cs="Arial"/>
                <w:szCs w:val="20"/>
              </w:rPr>
              <w:t xml:space="preserve">prescribes otherwise and, if so, a statement specifying the circumstances in which </w:t>
            </w:r>
            <w:r w:rsidRPr="00787160">
              <w:rPr>
                <w:rFonts w:ascii="Arial" w:hAnsi="Arial" w:cs="Arial"/>
                <w:iCs w:val="0"/>
                <w:szCs w:val="20"/>
              </w:rPr>
              <w:t>Unitholders</w:t>
            </w:r>
            <w:r w:rsidRPr="00EA7776">
              <w:rPr>
                <w:rFonts w:ascii="Arial" w:hAnsi="Arial" w:cs="Arial"/>
                <w:szCs w:val="20"/>
              </w:rPr>
              <w:t xml:space="preserve"> may be so liable;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base currency of the Public Fund and, where relevant, the maximum and minimum sizes of the Public Fund's capital;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circumstances in which the Public Fund may be wound up;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that no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will be issued on the basis of the </w:t>
            </w:r>
            <w:r w:rsidRPr="00787160">
              <w:rPr>
                <w:rFonts w:ascii="Arial" w:hAnsi="Arial" w:cs="Arial"/>
                <w:iCs w:val="0"/>
                <w:szCs w:val="20"/>
                <w:lang w:val="en-GB"/>
              </w:rPr>
              <w:t>Prospectus</w:t>
            </w:r>
            <w:r w:rsidRPr="00EA7776">
              <w:rPr>
                <w:rFonts w:ascii="Arial" w:hAnsi="Arial" w:cs="Arial"/>
                <w:szCs w:val="20"/>
              </w:rPr>
              <w:t xml:space="preserve"> after the expiry date specified in the </w:t>
            </w:r>
            <w:r w:rsidRPr="00787160">
              <w:rPr>
                <w:rFonts w:ascii="Arial" w:hAnsi="Arial" w:cs="Arial"/>
                <w:iCs w:val="0"/>
                <w:szCs w:val="20"/>
                <w:lang w:val="en-GB"/>
              </w:rPr>
              <w:t>Prospectus</w:t>
            </w:r>
            <w:r w:rsidRPr="00EA7776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szCs w:val="20"/>
              </w:rPr>
              <w:t>Investment Objectives and Policy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szCs w:val="20"/>
              </w:rPr>
            </w:pPr>
            <w:r w:rsidRPr="00EA7776">
              <w:rPr>
                <w:rFonts w:ascii="Arial" w:eastAsiaTheme="majorEastAsia" w:hAnsi="Arial" w:cs="Arial"/>
                <w:szCs w:val="20"/>
              </w:rPr>
              <w:t xml:space="preserve">Sufficient information to enable a </w:t>
            </w:r>
            <w:r w:rsidRPr="00787160">
              <w:rPr>
                <w:rFonts w:ascii="Arial" w:hAnsi="Arial" w:cs="Arial"/>
                <w:iCs/>
                <w:szCs w:val="20"/>
              </w:rPr>
              <w:t>U</w:t>
            </w:r>
            <w:r w:rsidRPr="00787160">
              <w:rPr>
                <w:rFonts w:ascii="Arial" w:eastAsiaTheme="majorEastAsia" w:hAnsi="Arial" w:cs="Arial"/>
                <w:iCs/>
                <w:szCs w:val="20"/>
              </w:rPr>
              <w:t>nitholder</w:t>
            </w:r>
            <w:r w:rsidRPr="00EA7776">
              <w:rPr>
                <w:rFonts w:ascii="Arial" w:eastAsiaTheme="majorEastAsia" w:hAnsi="Arial" w:cs="Arial"/>
                <w:szCs w:val="20"/>
              </w:rPr>
              <w:t xml:space="preserve"> or prospective </w:t>
            </w:r>
            <w:r w:rsidRPr="00787160">
              <w:rPr>
                <w:rFonts w:ascii="Arial" w:hAnsi="Arial" w:cs="Arial"/>
                <w:iCs/>
                <w:szCs w:val="20"/>
              </w:rPr>
              <w:t>U</w:t>
            </w:r>
            <w:r w:rsidRPr="00787160">
              <w:rPr>
                <w:rFonts w:ascii="Arial" w:eastAsiaTheme="majorEastAsia" w:hAnsi="Arial" w:cs="Arial"/>
                <w:iCs/>
                <w:szCs w:val="20"/>
              </w:rPr>
              <w:t>nitholder</w:t>
            </w:r>
            <w:r w:rsidRPr="00EA7776">
              <w:rPr>
                <w:rFonts w:ascii="Arial" w:eastAsiaTheme="majorEastAsia" w:hAnsi="Arial" w:cs="Arial"/>
                <w:szCs w:val="20"/>
              </w:rPr>
              <w:t xml:space="preserve"> to ascertain: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7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investment objectives of the Public Fund and its investment policy for achieving those investment objectives;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7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Public Fund’s policy and any operating restrictions in relation to the use of debt;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7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a description of any restrictions in the assets in which investment may be made;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7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extent</w:t>
            </w:r>
            <w:r w:rsidR="00831768">
              <w:rPr>
                <w:rFonts w:ascii="Arial" w:hAnsi="Arial" w:cs="Arial"/>
                <w:szCs w:val="20"/>
              </w:rPr>
              <w:t>,</w:t>
            </w:r>
            <w:r w:rsidRPr="00EA7776">
              <w:rPr>
                <w:rFonts w:ascii="Arial" w:hAnsi="Arial" w:cs="Arial"/>
                <w:szCs w:val="20"/>
              </w:rPr>
              <w:t xml:space="preserve"> if any</w:t>
            </w:r>
            <w:r w:rsidR="00831768">
              <w:rPr>
                <w:rFonts w:ascii="Arial" w:hAnsi="Arial" w:cs="Arial"/>
                <w:szCs w:val="20"/>
              </w:rPr>
              <w:t>,</w:t>
            </w:r>
            <w:r w:rsidRPr="00EA7776">
              <w:rPr>
                <w:rFonts w:ascii="Arial" w:hAnsi="Arial" w:cs="Arial"/>
                <w:szCs w:val="20"/>
              </w:rPr>
              <w:t xml:space="preserve"> to which that investment policy does not envisage remaining fully invested at all times.</w:t>
            </w:r>
          </w:p>
          <w:p w:rsidR="00842165" w:rsidRPr="00EA7776" w:rsidRDefault="00842165" w:rsidP="0077052F">
            <w:pPr>
              <w:pStyle w:val="Heading4"/>
              <w:tabs>
                <w:tab w:val="clear" w:pos="1440"/>
              </w:tabs>
              <w:spacing w:before="60" w:after="60"/>
              <w:ind w:left="142" w:right="60" w:firstLine="0"/>
              <w:rPr>
                <w:rFonts w:ascii="Arial" w:hAnsi="Arial" w:cs="Arial"/>
                <w:szCs w:val="20"/>
              </w:rPr>
            </w:pPr>
            <w:bookmarkStart w:id="0" w:name="_Toc501025330"/>
            <w:r w:rsidRPr="00EA7776">
              <w:rPr>
                <w:rFonts w:ascii="Arial" w:hAnsi="Arial" w:cs="Arial"/>
                <w:szCs w:val="20"/>
              </w:rPr>
              <w:t xml:space="preserve">If intended, whether the </w:t>
            </w:r>
            <w:r w:rsidR="005F6782" w:rsidRPr="00EA7776">
              <w:rPr>
                <w:rFonts w:ascii="Arial" w:hAnsi="Arial" w:cs="Arial"/>
                <w:szCs w:val="20"/>
              </w:rPr>
              <w:t>Fund P</w:t>
            </w:r>
            <w:r w:rsidRPr="00EA7776">
              <w:rPr>
                <w:rFonts w:ascii="Arial" w:hAnsi="Arial" w:cs="Arial"/>
                <w:szCs w:val="20"/>
              </w:rPr>
              <w:t xml:space="preserve">roperty may consist of </w:t>
            </w:r>
            <w:r w:rsidRPr="00787160">
              <w:rPr>
                <w:rFonts w:ascii="Arial" w:hAnsi="Arial" w:cs="Arial"/>
                <w:i/>
                <w:szCs w:val="20"/>
                <w:u w:val="single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</w:t>
            </w:r>
            <w:r w:rsidR="0077052F">
              <w:rPr>
                <w:rFonts w:ascii="Arial" w:hAnsi="Arial" w:cs="Arial"/>
                <w:szCs w:val="20"/>
              </w:rPr>
              <w:t>Domestic Funds</w:t>
            </w:r>
            <w:r w:rsidRPr="00EA7776">
              <w:rPr>
                <w:rFonts w:ascii="Arial" w:hAnsi="Arial" w:cs="Arial"/>
                <w:szCs w:val="20"/>
              </w:rPr>
              <w:t xml:space="preserve"> which are managed by or operated by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</w:rPr>
              <w:t xml:space="preserve"> or by one of its associates and a statement specifying:</w:t>
            </w:r>
            <w:bookmarkEnd w:id="0"/>
          </w:p>
          <w:p w:rsidR="00842165" w:rsidRPr="00EA7776" w:rsidRDefault="00842165" w:rsidP="00DE1781">
            <w:pPr>
              <w:pStyle w:val="Heading4"/>
              <w:numPr>
                <w:ilvl w:val="3"/>
                <w:numId w:val="26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basis of the maximum amount of the charges in respect of transactions in the </w:t>
            </w:r>
            <w:r w:rsidR="00DE1781">
              <w:rPr>
                <w:rFonts w:ascii="Arial" w:hAnsi="Arial" w:cs="Arial"/>
                <w:szCs w:val="20"/>
              </w:rPr>
              <w:t>Fund</w:t>
            </w:r>
            <w:r w:rsidRPr="00EA7776">
              <w:rPr>
                <w:rFonts w:ascii="Arial" w:hAnsi="Arial" w:cs="Arial"/>
                <w:szCs w:val="20"/>
              </w:rPr>
              <w:t xml:space="preserve"> invested in;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6"/>
              </w:numPr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</w:rPr>
              <w:t>the extent to which any such charges will be reimbursed to the Public Fund.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The characteristics of </w:t>
            </w:r>
            <w:r w:rsidRPr="00787160">
              <w:rPr>
                <w:rFonts w:ascii="Arial" w:eastAsiaTheme="majorEastAsia" w:hAnsi="Arial" w:cs="Arial"/>
                <w:b/>
                <w:bCs/>
                <w:iCs/>
                <w:szCs w:val="20"/>
              </w:rPr>
              <w:t>Units</w:t>
            </w: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 in the Public Fund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  <w:r w:rsidRPr="00EA7776">
              <w:rPr>
                <w:rFonts w:ascii="Arial" w:eastAsiaTheme="majorEastAsia" w:hAnsi="Arial" w:cs="Arial"/>
                <w:szCs w:val="20"/>
              </w:rPr>
              <w:t>Information as to: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8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names of the classes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of the Public Fund in issue or available for issue and the rights attached to them in so far as they vary from the rights attached to other classes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the Public Fund;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8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how </w:t>
            </w:r>
            <w:r w:rsidRPr="00787160">
              <w:rPr>
                <w:rFonts w:ascii="Arial" w:hAnsi="Arial" w:cs="Arial"/>
                <w:iCs w:val="0"/>
                <w:szCs w:val="20"/>
              </w:rPr>
              <w:t>Unitholders</w:t>
            </w:r>
            <w:r w:rsidRPr="00EA7776">
              <w:rPr>
                <w:rFonts w:ascii="Arial" w:hAnsi="Arial" w:cs="Arial"/>
                <w:szCs w:val="20"/>
              </w:rPr>
              <w:t xml:space="preserve"> may exercise their voting rights and what they are;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8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circumstances where a mandatory redemption, cancellation or conversion of a </w:t>
            </w:r>
            <w:r w:rsidR="005F6782">
              <w:rPr>
                <w:rFonts w:ascii="Arial" w:hAnsi="Arial" w:cs="Arial"/>
                <w:szCs w:val="20"/>
              </w:rPr>
              <w:t>U</w:t>
            </w:r>
            <w:r w:rsidRPr="00EA7776">
              <w:rPr>
                <w:rFonts w:ascii="Arial" w:hAnsi="Arial" w:cs="Arial"/>
                <w:szCs w:val="20"/>
              </w:rPr>
              <w:t>nit from one class to another may be required.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szCs w:val="20"/>
              </w:rPr>
              <w:t xml:space="preserve">The </w:t>
            </w:r>
            <w:r w:rsidRPr="00787160">
              <w:rPr>
                <w:rFonts w:ascii="Arial" w:eastAsiaTheme="majorEastAsia" w:hAnsi="Arial" w:cs="Arial"/>
                <w:b/>
                <w:iCs/>
                <w:szCs w:val="20"/>
              </w:rPr>
              <w:t>Fund Manager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  <w:r w:rsidRPr="00EA7776">
              <w:rPr>
                <w:rFonts w:ascii="Arial" w:eastAsiaTheme="majorEastAsia" w:hAnsi="Arial" w:cs="Arial"/>
                <w:szCs w:val="20"/>
              </w:rPr>
              <w:t xml:space="preserve">The following particulars of the </w:t>
            </w:r>
            <w:r w:rsidRPr="00787160">
              <w:rPr>
                <w:rFonts w:ascii="Arial" w:hAnsi="Arial" w:cs="Arial"/>
                <w:iCs/>
                <w:szCs w:val="20"/>
              </w:rPr>
              <w:t>Fund Manager</w:t>
            </w:r>
            <w:r w:rsidRPr="00EA7776">
              <w:rPr>
                <w:rFonts w:ascii="Arial" w:eastAsiaTheme="majorEastAsia" w:hAnsi="Arial" w:cs="Arial"/>
                <w:szCs w:val="20"/>
              </w:rPr>
              <w:t>: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9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 xml:space="preserve">its </w:t>
            </w:r>
            <w:r w:rsidRPr="00EA7776">
              <w:rPr>
                <w:rFonts w:ascii="Arial" w:hAnsi="Arial" w:cs="Arial"/>
                <w:szCs w:val="20"/>
              </w:rPr>
              <w:t xml:space="preserve">name, the jurisdiction in which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</w:rPr>
              <w:t xml:space="preserve"> is incorporated and the date of such incorporation;</w:t>
            </w:r>
          </w:p>
          <w:p w:rsidR="00842165" w:rsidRPr="00EA7776" w:rsidRDefault="00842165" w:rsidP="00B82040">
            <w:pPr>
              <w:pStyle w:val="Heading4"/>
              <w:numPr>
                <w:ilvl w:val="3"/>
                <w:numId w:val="19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confirmation that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</w:rPr>
              <w:t xml:space="preserve"> has been authorized to </w:t>
            </w:r>
            <w:r w:rsidR="00B82040">
              <w:rPr>
                <w:rFonts w:ascii="Arial" w:hAnsi="Arial" w:cs="Arial"/>
                <w:szCs w:val="20"/>
              </w:rPr>
              <w:t xml:space="preserve">manage a Fund by the DFSA </w:t>
            </w:r>
            <w:r w:rsidRPr="00EA7776">
              <w:rPr>
                <w:rFonts w:ascii="Arial" w:hAnsi="Arial" w:cs="Arial"/>
                <w:szCs w:val="20"/>
              </w:rPr>
              <w:t xml:space="preserve">; 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9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its address;</w:t>
            </w:r>
          </w:p>
          <w:p w:rsidR="00842165" w:rsidRPr="00EA7776" w:rsidRDefault="00842165" w:rsidP="008C41D8">
            <w:pPr>
              <w:pStyle w:val="Heading4"/>
              <w:numPr>
                <w:ilvl w:val="3"/>
                <w:numId w:val="19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 xml:space="preserve">the names and brief biographies of the directors or other officers of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  <w:lang w:val="en-GB"/>
              </w:rPr>
              <w:t>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9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if it is a subsidiary, the name of its ultimate holding company and the country or territory in which that holding company is incorporated;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9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the amount of its issued share capital and how much of it is paid up;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19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 xml:space="preserve">a summary of the material provisions of the contract between the Public Fund and its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  <w:lang w:val="en-GB"/>
              </w:rPr>
              <w:t xml:space="preserve"> which may be relevant to </w:t>
            </w:r>
            <w:r w:rsidR="00E9734B">
              <w:rPr>
                <w:rFonts w:ascii="Arial" w:hAnsi="Arial" w:cs="Arial"/>
                <w:iCs w:val="0"/>
                <w:szCs w:val="20"/>
              </w:rPr>
              <w:t>U</w:t>
            </w:r>
            <w:r w:rsidRPr="00787160">
              <w:rPr>
                <w:rFonts w:ascii="Arial" w:hAnsi="Arial" w:cs="Arial"/>
                <w:iCs w:val="0"/>
                <w:szCs w:val="20"/>
                <w:lang w:val="en-GB"/>
              </w:rPr>
              <w:t>nitholders</w:t>
            </w:r>
            <w:r w:rsidRPr="00EA7776">
              <w:rPr>
                <w:rFonts w:ascii="Arial" w:hAnsi="Arial" w:cs="Arial"/>
                <w:szCs w:val="20"/>
                <w:lang w:val="en-GB"/>
              </w:rPr>
              <w:t>, including provisions relating to termination, compensation on termination and indemnity.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>Directors and other Officers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</w:rPr>
              <w:t>If the Public Fund has directors or other officers, the names and brief biographies of those directors or other officers.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>Service Providers and Advisers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If a </w:t>
            </w:r>
            <w:r w:rsidRPr="00787160">
              <w:rPr>
                <w:rFonts w:ascii="Arial" w:hAnsi="Arial" w:cs="Arial"/>
                <w:iCs/>
                <w:szCs w:val="20"/>
              </w:rPr>
              <w:t>Fund Manager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 delegates any activities or outsources any functions to a service provider, or if an investment adviser is retained in connection with the business of the Public Fund: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0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its name;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0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its regulator;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0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bCs w:val="0"/>
                <w:szCs w:val="20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details of the arrangements.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The Auditor, Custodian and </w:t>
            </w:r>
            <w:r w:rsidRPr="00787160">
              <w:rPr>
                <w:rFonts w:ascii="Arial" w:eastAsiaTheme="majorEastAsia" w:hAnsi="Arial" w:cs="Arial"/>
                <w:b/>
                <w:bCs/>
                <w:iCs/>
                <w:szCs w:val="20"/>
              </w:rPr>
              <w:t>Trustee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The name of the </w:t>
            </w:r>
            <w:r w:rsidR="005F6BF9">
              <w:rPr>
                <w:rFonts w:ascii="Arial" w:eastAsiaTheme="majorEastAsia" w:hAnsi="Arial" w:cs="Arial"/>
                <w:bCs/>
                <w:szCs w:val="20"/>
              </w:rPr>
              <w:t>A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uditor, the name of the custodian and (if applicable) the name of the </w:t>
            </w:r>
            <w:r w:rsidRPr="00787160">
              <w:rPr>
                <w:rFonts w:ascii="Arial" w:eastAsiaTheme="majorEastAsia" w:hAnsi="Arial" w:cs="Arial"/>
                <w:bCs/>
                <w:iCs/>
                <w:szCs w:val="20"/>
              </w:rPr>
              <w:t>Trustee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>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The Register of </w:t>
            </w:r>
            <w:r w:rsidRPr="00787160">
              <w:rPr>
                <w:rFonts w:ascii="Arial" w:eastAsiaTheme="majorEastAsia" w:hAnsi="Arial" w:cs="Arial"/>
                <w:b/>
                <w:bCs/>
                <w:iCs/>
                <w:szCs w:val="20"/>
              </w:rPr>
              <w:t>Unitholders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Details of the address in the </w:t>
            </w:r>
            <w:r w:rsidR="005F6BF9">
              <w:rPr>
                <w:rFonts w:ascii="Arial" w:eastAsiaTheme="majorEastAsia" w:hAnsi="Arial" w:cs="Arial"/>
                <w:bCs/>
                <w:szCs w:val="20"/>
              </w:rPr>
              <w:t>DIFC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 where the register of </w:t>
            </w:r>
            <w:r w:rsidRPr="00787160">
              <w:rPr>
                <w:rFonts w:ascii="Arial" w:hAnsi="Arial" w:cs="Arial"/>
                <w:iCs/>
                <w:szCs w:val="20"/>
              </w:rPr>
              <w:t>U</w:t>
            </w:r>
            <w:r w:rsidRPr="00787160">
              <w:rPr>
                <w:rFonts w:ascii="Arial" w:eastAsiaTheme="majorEastAsia" w:hAnsi="Arial" w:cs="Arial"/>
                <w:bCs/>
                <w:iCs/>
                <w:szCs w:val="20"/>
              </w:rPr>
              <w:t>nitholders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 is kept and can be inspected by </w:t>
            </w:r>
            <w:r w:rsidRPr="00787160">
              <w:rPr>
                <w:rFonts w:ascii="Arial" w:hAnsi="Arial" w:cs="Arial"/>
                <w:iCs/>
                <w:szCs w:val="20"/>
              </w:rPr>
              <w:t>U</w:t>
            </w:r>
            <w:r w:rsidRPr="00787160">
              <w:rPr>
                <w:rFonts w:ascii="Arial" w:eastAsiaTheme="majorEastAsia" w:hAnsi="Arial" w:cs="Arial"/>
                <w:bCs/>
                <w:iCs/>
                <w:szCs w:val="20"/>
              </w:rPr>
              <w:t>nitholders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 of the Public Fund.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Payments out of the </w:t>
            </w:r>
            <w:r w:rsidRPr="00787160">
              <w:rPr>
                <w:rFonts w:ascii="Arial" w:eastAsiaTheme="majorEastAsia" w:hAnsi="Arial" w:cs="Arial"/>
                <w:b/>
                <w:bCs/>
                <w:iCs/>
                <w:szCs w:val="20"/>
              </w:rPr>
              <w:t>Fund</w:t>
            </w: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 Property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The payments that may be made out of the </w:t>
            </w:r>
            <w:r w:rsidR="00874ED6">
              <w:rPr>
                <w:rFonts w:ascii="Arial" w:eastAsiaTheme="majorEastAsia" w:hAnsi="Arial" w:cs="Arial"/>
                <w:bCs/>
                <w:szCs w:val="20"/>
              </w:rPr>
              <w:t>F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und </w:t>
            </w:r>
            <w:r w:rsidR="00874ED6">
              <w:rPr>
                <w:rFonts w:ascii="Arial" w:eastAsiaTheme="majorEastAsia" w:hAnsi="Arial" w:cs="Arial"/>
                <w:bCs/>
                <w:szCs w:val="20"/>
              </w:rPr>
              <w:t>P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roperty to any person, whether by way of remuneration for services, or reimbursement of expenses. For each category of remuneration or expense, the following should be specified in a manner which is clear, concise and understandable for </w:t>
            </w:r>
            <w:r w:rsidRPr="00787160">
              <w:rPr>
                <w:rFonts w:ascii="Arial" w:hAnsi="Arial" w:cs="Arial"/>
                <w:iCs/>
                <w:szCs w:val="20"/>
              </w:rPr>
              <w:t>Retail Clients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 where the Public Fund is to be offered: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1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the current rates or amounts of such remuneration;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1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how the remuneration will be calculated and accrue and when it will be paid;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1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 xml:space="preserve">how notice will be given to </w:t>
            </w:r>
            <w:r w:rsidRPr="00787160">
              <w:rPr>
                <w:rFonts w:ascii="Arial" w:hAnsi="Arial" w:cs="Arial"/>
                <w:iCs w:val="0"/>
                <w:szCs w:val="20"/>
              </w:rPr>
              <w:t>U</w:t>
            </w:r>
            <w:r w:rsidRPr="00787160">
              <w:rPr>
                <w:rFonts w:ascii="Arial" w:hAnsi="Arial" w:cs="Arial"/>
                <w:iCs w:val="0"/>
                <w:szCs w:val="20"/>
                <w:lang w:val="en-GB"/>
              </w:rPr>
              <w:t>nitholders</w:t>
            </w:r>
            <w:r w:rsidRPr="00EA7776">
              <w:rPr>
                <w:rFonts w:ascii="Arial" w:hAnsi="Arial" w:cs="Arial"/>
                <w:szCs w:val="20"/>
                <w:lang w:val="en-GB"/>
              </w:rPr>
              <w:t xml:space="preserve"> of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  <w:lang w:val="en-GB"/>
              </w:rPr>
              <w:t>'s intention to: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7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introduce a new category of remuneration for its services;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7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increase the basis of any current charge;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7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change the basis of the treatment of a payment from the capital property;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7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particulars of that introduction or increase and when it will take place;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1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the types of any other charges and expenses that may be taken out of the fund property;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1"/>
              </w:numPr>
              <w:tabs>
                <w:tab w:val="clear" w:pos="1440"/>
                <w:tab w:val="num" w:pos="709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>if all or part of the remuneration or expenses are to be treated as a capital charge: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30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that fact;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30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basis of the charges which may be so treated.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>Dealing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  <w:lang w:val="en-GB"/>
              </w:rPr>
              <w:t xml:space="preserve">Details of: 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2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</w:rPr>
              <w:t>the</w:t>
            </w:r>
            <w:r w:rsidRPr="00EA7776">
              <w:rPr>
                <w:rFonts w:ascii="Arial" w:hAnsi="Arial" w:cs="Arial"/>
                <w:szCs w:val="20"/>
                <w:lang w:val="en-GB"/>
              </w:rPr>
              <w:t xml:space="preserve"> dealing days and times in the dealing day on which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  <w:lang w:val="en-GB"/>
              </w:rPr>
              <w:t xml:space="preserve"> will receive requests for the sale and redemption of </w:t>
            </w:r>
            <w:r w:rsidRPr="00787160">
              <w:rPr>
                <w:rFonts w:ascii="Arial" w:hAnsi="Arial" w:cs="Arial"/>
                <w:iCs w:val="0"/>
                <w:szCs w:val="20"/>
              </w:rPr>
              <w:t>U</w:t>
            </w:r>
            <w:r w:rsidRPr="00787160">
              <w:rPr>
                <w:rFonts w:ascii="Arial" w:hAnsi="Arial" w:cs="Arial"/>
                <w:iCs w:val="0"/>
                <w:szCs w:val="20"/>
                <w:lang w:val="en-GB"/>
              </w:rPr>
              <w:t>nits</w:t>
            </w:r>
            <w:r w:rsidRPr="00EA7776">
              <w:rPr>
                <w:rFonts w:ascii="Arial" w:hAnsi="Arial" w:cs="Arial"/>
                <w:szCs w:val="20"/>
                <w:lang w:val="en-GB"/>
              </w:rPr>
              <w:t>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2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  <w:lang w:val="en-GB"/>
              </w:rPr>
              <w:t xml:space="preserve">the </w:t>
            </w:r>
            <w:r w:rsidRPr="00EA7776">
              <w:rPr>
                <w:rFonts w:ascii="Arial" w:hAnsi="Arial" w:cs="Arial"/>
                <w:szCs w:val="20"/>
              </w:rPr>
              <w:t xml:space="preserve">procedures for effecting: 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9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issue, sale and redemption (including in specie)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>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9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the settlement of transactions;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2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steps required to be taken by a </w:t>
            </w:r>
            <w:r w:rsidRPr="00787160">
              <w:rPr>
                <w:rFonts w:ascii="Arial" w:hAnsi="Arial" w:cs="Arial"/>
                <w:iCs w:val="0"/>
                <w:szCs w:val="20"/>
              </w:rPr>
              <w:t>Unitholder</w:t>
            </w:r>
            <w:r w:rsidR="00E9734B">
              <w:rPr>
                <w:rFonts w:ascii="Arial" w:hAnsi="Arial" w:cs="Arial"/>
                <w:iCs w:val="0"/>
                <w:szCs w:val="20"/>
              </w:rPr>
              <w:t xml:space="preserve"> </w:t>
            </w:r>
            <w:r w:rsidRPr="00EA7776">
              <w:rPr>
                <w:rFonts w:ascii="Arial" w:hAnsi="Arial" w:cs="Arial"/>
                <w:szCs w:val="20"/>
              </w:rPr>
              <w:t xml:space="preserve">in redeeming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before he can receive the proceeds, including any relevant notice periods, and the circumstances and periods in which a deferral of payment may be applied;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2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circumstances in which the redemption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may be suspended;</w:t>
            </w:r>
          </w:p>
          <w:p w:rsidR="00842165" w:rsidRPr="00EA7776" w:rsidRDefault="00842165" w:rsidP="00C3798A">
            <w:pPr>
              <w:pStyle w:val="Heading4"/>
              <w:numPr>
                <w:ilvl w:val="3"/>
                <w:numId w:val="22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details of the minimum number or value of each type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</w:t>
            </w:r>
            <w:r w:rsidRPr="00EA7776">
              <w:rPr>
                <w:rFonts w:ascii="Arial" w:hAnsi="Arial" w:cs="Arial"/>
                <w:szCs w:val="20"/>
              </w:rPr>
              <w:t xml:space="preserve"> in the Public Fund which:  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8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any one person may hold; and</w:t>
            </w:r>
          </w:p>
          <w:p w:rsidR="00842165" w:rsidRPr="00EA7776" w:rsidRDefault="00842165" w:rsidP="00C3798A">
            <w:pPr>
              <w:pStyle w:val="Heading4"/>
              <w:numPr>
                <w:ilvl w:val="3"/>
                <w:numId w:val="28"/>
              </w:numPr>
              <w:spacing w:before="60" w:after="60"/>
              <w:ind w:right="60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may be the subject of any one transaction of issue, sale or redemption by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</w:rPr>
              <w:t>;</w:t>
            </w:r>
          </w:p>
          <w:p w:rsidR="00B93185" w:rsidRPr="00F43A99" w:rsidRDefault="00842165" w:rsidP="00F43A99">
            <w:pPr>
              <w:pStyle w:val="Heading4"/>
              <w:numPr>
                <w:ilvl w:val="3"/>
                <w:numId w:val="22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circumstances in which the further issue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any particular class may be limited and the procedures relating to this.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Valuation of the </w:t>
            </w:r>
            <w:r w:rsidRPr="00787160">
              <w:rPr>
                <w:rFonts w:ascii="Arial" w:eastAsiaTheme="majorEastAsia" w:hAnsi="Arial" w:cs="Arial"/>
                <w:b/>
                <w:bCs/>
                <w:iCs/>
                <w:szCs w:val="20"/>
              </w:rPr>
              <w:t>Fund</w:t>
            </w: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 xml:space="preserve"> Property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  <w:lang w:val="en-GB"/>
              </w:rPr>
              <w:t xml:space="preserve">Details as to: </w:t>
            </w:r>
          </w:p>
          <w:p w:rsidR="00842165" w:rsidRPr="00EA7776" w:rsidRDefault="00842165" w:rsidP="009A10AD">
            <w:pPr>
              <w:pStyle w:val="Heading4"/>
              <w:numPr>
                <w:ilvl w:val="3"/>
                <w:numId w:val="23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how frequently and at what times of the day the </w:t>
            </w:r>
            <w:r w:rsidR="000B6B18" w:rsidRPr="00EA7776">
              <w:rPr>
                <w:rFonts w:ascii="Arial" w:hAnsi="Arial" w:cs="Arial"/>
                <w:szCs w:val="20"/>
              </w:rPr>
              <w:t xml:space="preserve">Fund Property </w:t>
            </w:r>
            <w:r w:rsidRPr="00EA7776">
              <w:rPr>
                <w:rFonts w:ascii="Arial" w:hAnsi="Arial" w:cs="Arial"/>
                <w:szCs w:val="20"/>
              </w:rPr>
              <w:t xml:space="preserve">will be regularly valued to determine the price at which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the Public Fund may be purchased from or redeemed by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 Manager</w:t>
            </w:r>
            <w:r w:rsidRPr="00EA7776">
              <w:rPr>
                <w:rFonts w:ascii="Arial" w:hAnsi="Arial" w:cs="Arial"/>
                <w:szCs w:val="20"/>
              </w:rPr>
              <w:t xml:space="preserve"> and a description of any circumstance where the </w:t>
            </w:r>
            <w:r w:rsidR="00D87623" w:rsidRPr="00EA7776">
              <w:rPr>
                <w:rFonts w:ascii="Arial" w:hAnsi="Arial" w:cs="Arial"/>
                <w:szCs w:val="20"/>
              </w:rPr>
              <w:t xml:space="preserve">Fund Property </w:t>
            </w:r>
            <w:r w:rsidRPr="00EA7776">
              <w:rPr>
                <w:rFonts w:ascii="Arial" w:hAnsi="Arial" w:cs="Arial"/>
                <w:szCs w:val="20"/>
              </w:rPr>
              <w:t>may be specially valued;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3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in relation to each purpose for which the </w:t>
            </w:r>
            <w:r w:rsidR="00D87623" w:rsidRPr="00EA7776">
              <w:rPr>
                <w:rFonts w:ascii="Arial" w:hAnsi="Arial" w:cs="Arial"/>
                <w:szCs w:val="20"/>
              </w:rPr>
              <w:t xml:space="preserve">Fund Property </w:t>
            </w:r>
            <w:r w:rsidRPr="00EA7776">
              <w:rPr>
                <w:rFonts w:ascii="Arial" w:hAnsi="Arial" w:cs="Arial"/>
                <w:szCs w:val="20"/>
              </w:rPr>
              <w:t>must be valued, the basis on which it will be valued;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3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how the single price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of each class will be determined, including whether a forward or historic price basis is to be applied;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3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details as to how the prices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will be published following each valuation;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3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</w:rPr>
              <w:t>if valuation is to be suspended under certain circumstances, details of such circumstances.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>Sale and Redemption Charges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If the </w:t>
            </w:r>
            <w:r w:rsidRPr="00787160">
              <w:rPr>
                <w:rFonts w:ascii="Arial" w:hAnsi="Arial" w:cs="Arial"/>
                <w:iCs/>
                <w:szCs w:val="20"/>
              </w:rPr>
              <w:t>Fund Manager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 imposes any charges on sale or redemption of </w:t>
            </w:r>
            <w:r w:rsidRPr="00787160">
              <w:rPr>
                <w:rFonts w:ascii="Arial" w:hAnsi="Arial" w:cs="Arial"/>
                <w:iCs/>
                <w:szCs w:val="20"/>
              </w:rPr>
              <w:t>U</w:t>
            </w:r>
            <w:r w:rsidRPr="00787160">
              <w:rPr>
                <w:rFonts w:ascii="Arial" w:eastAsiaTheme="majorEastAsia" w:hAnsi="Arial" w:cs="Arial"/>
                <w:bCs/>
                <w:iCs/>
                <w:szCs w:val="20"/>
              </w:rPr>
              <w:t>nits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, details of the charging structure and how notice will be provided to </w:t>
            </w:r>
            <w:r w:rsidRPr="00787160">
              <w:rPr>
                <w:rFonts w:ascii="Arial" w:hAnsi="Arial" w:cs="Arial"/>
                <w:iCs/>
                <w:szCs w:val="20"/>
              </w:rPr>
              <w:t>U</w:t>
            </w:r>
            <w:r w:rsidRPr="00787160">
              <w:rPr>
                <w:rFonts w:ascii="Arial" w:eastAsiaTheme="majorEastAsia" w:hAnsi="Arial" w:cs="Arial"/>
                <w:bCs/>
                <w:iCs/>
                <w:szCs w:val="20"/>
              </w:rPr>
              <w:t>nitholders</w:t>
            </w:r>
            <w:r w:rsidRPr="00EA7776">
              <w:rPr>
                <w:rFonts w:ascii="Arial" w:eastAsiaTheme="majorEastAsia" w:hAnsi="Arial" w:cs="Arial"/>
                <w:bCs/>
                <w:szCs w:val="20"/>
              </w:rPr>
              <w:t xml:space="preserve"> of any change in the relevant charge.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keepNext/>
              <w:numPr>
                <w:ilvl w:val="0"/>
                <w:numId w:val="0"/>
              </w:numPr>
              <w:spacing w:before="60" w:after="60"/>
              <w:ind w:left="62" w:right="62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>Financial Reports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keepNext/>
              <w:numPr>
                <w:ilvl w:val="0"/>
                <w:numId w:val="0"/>
              </w:numPr>
              <w:spacing w:before="60" w:after="60"/>
              <w:ind w:left="62" w:right="62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keepNext/>
              <w:numPr>
                <w:ilvl w:val="0"/>
                <w:numId w:val="0"/>
              </w:numPr>
              <w:spacing w:before="60" w:after="60"/>
              <w:ind w:left="62" w:right="62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  <w:lang w:val="en-GB"/>
              </w:rPr>
              <w:t xml:space="preserve">Details as to: 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4"/>
              </w:numPr>
              <w:tabs>
                <w:tab w:val="clear" w:pos="1440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>when annual and interim reports will be published; and</w:t>
            </w:r>
          </w:p>
          <w:p w:rsidR="00842165" w:rsidRPr="00EA7776" w:rsidRDefault="00842165" w:rsidP="00787160">
            <w:pPr>
              <w:pStyle w:val="Heading4"/>
              <w:numPr>
                <w:ilvl w:val="3"/>
                <w:numId w:val="24"/>
              </w:numPr>
              <w:tabs>
                <w:tab w:val="clear" w:pos="1440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address in the </w:t>
            </w:r>
            <w:r w:rsidR="00051639">
              <w:rPr>
                <w:rFonts w:ascii="Arial" w:hAnsi="Arial" w:cs="Arial"/>
                <w:szCs w:val="20"/>
              </w:rPr>
              <w:t>DIFC</w:t>
            </w:r>
            <w:r w:rsidRPr="00EA7776">
              <w:rPr>
                <w:rFonts w:ascii="Arial" w:hAnsi="Arial" w:cs="Arial"/>
                <w:szCs w:val="20"/>
              </w:rPr>
              <w:t xml:space="preserve"> at which copies of the </w:t>
            </w:r>
            <w:r w:rsidRPr="00787160">
              <w:rPr>
                <w:rFonts w:ascii="Arial" w:hAnsi="Arial" w:cs="Arial"/>
                <w:iCs w:val="0"/>
                <w:szCs w:val="20"/>
              </w:rPr>
              <w:t>Fund</w:t>
            </w:r>
            <w:r w:rsidRPr="00EA7776">
              <w:rPr>
                <w:rFonts w:ascii="Arial" w:hAnsi="Arial" w:cs="Arial"/>
                <w:szCs w:val="20"/>
              </w:rPr>
              <w:t xml:space="preserve"> </w:t>
            </w:r>
            <w:r w:rsidRPr="00787160">
              <w:rPr>
                <w:rFonts w:ascii="Arial" w:hAnsi="Arial" w:cs="Arial"/>
                <w:iCs w:val="0"/>
                <w:szCs w:val="20"/>
              </w:rPr>
              <w:t>Constitution</w:t>
            </w:r>
            <w:r w:rsidRPr="00EA7776">
              <w:rPr>
                <w:rFonts w:ascii="Arial" w:hAnsi="Arial" w:cs="Arial"/>
                <w:szCs w:val="20"/>
              </w:rPr>
              <w:t>, any amending instrument and the most recent annual and interim reports may be inspected and from which copies may be obtained.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15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>Information in respect of Umbrella Funds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szCs w:val="20"/>
              </w:rPr>
            </w:pPr>
          </w:p>
        </w:tc>
        <w:tc>
          <w:tcPr>
            <w:tcW w:w="5187" w:type="dxa"/>
          </w:tcPr>
          <w:p w:rsidR="00842165" w:rsidRPr="00EA7776" w:rsidRDefault="00842165" w:rsidP="00787160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jc w:val="both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  <w:r w:rsidRPr="00EA7776">
              <w:rPr>
                <w:rFonts w:ascii="Arial" w:eastAsiaTheme="majorEastAsia" w:hAnsi="Arial" w:cs="Arial"/>
                <w:bCs/>
                <w:szCs w:val="20"/>
                <w:lang w:val="en-GB"/>
              </w:rPr>
              <w:t xml:space="preserve">In the case of an umbrella fund, the following information: 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5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that a </w:t>
            </w:r>
            <w:r w:rsidRPr="00787160">
              <w:rPr>
                <w:rFonts w:ascii="Arial" w:hAnsi="Arial" w:cs="Arial"/>
                <w:iCs w:val="0"/>
                <w:szCs w:val="20"/>
              </w:rPr>
              <w:t>Unitholder</w:t>
            </w:r>
            <w:r w:rsidRPr="00EA7776">
              <w:rPr>
                <w:rFonts w:ascii="Arial" w:hAnsi="Arial" w:cs="Arial"/>
                <w:szCs w:val="20"/>
              </w:rPr>
              <w:t xml:space="preserve"> may exchange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one sub-fund for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another sub-fund and that such an exchange is treated as a redemption and sale;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5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what charges may be made on exchanging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one sub-fund for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in other sub-funds;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5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the policy for allocating between sub-funds any assets of, or costs, charges and expenses payable out of, the </w:t>
            </w:r>
            <w:r w:rsidR="00A028DC" w:rsidRPr="00EA7776">
              <w:rPr>
                <w:rFonts w:ascii="Arial" w:hAnsi="Arial" w:cs="Arial"/>
                <w:szCs w:val="20"/>
              </w:rPr>
              <w:t xml:space="preserve">Fund Property </w:t>
            </w:r>
            <w:r w:rsidRPr="00EA7776">
              <w:rPr>
                <w:rFonts w:ascii="Arial" w:hAnsi="Arial" w:cs="Arial"/>
                <w:szCs w:val="20"/>
              </w:rPr>
              <w:t>which are not attributable to any particular sub-fund;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5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</w:rPr>
            </w:pPr>
            <w:r w:rsidRPr="00EA7776">
              <w:rPr>
                <w:rFonts w:ascii="Arial" w:hAnsi="Arial" w:cs="Arial"/>
                <w:szCs w:val="20"/>
              </w:rPr>
              <w:t xml:space="preserve">in respect of each sub-fund, the currency in which the </w:t>
            </w:r>
            <w:r w:rsidR="00A028DC" w:rsidRPr="00EA7776">
              <w:rPr>
                <w:rFonts w:ascii="Arial" w:hAnsi="Arial" w:cs="Arial"/>
                <w:szCs w:val="20"/>
              </w:rPr>
              <w:t>Fund P</w:t>
            </w:r>
            <w:r w:rsidRPr="00EA7776">
              <w:rPr>
                <w:rFonts w:ascii="Arial" w:hAnsi="Arial" w:cs="Arial"/>
                <w:szCs w:val="20"/>
              </w:rPr>
              <w:t xml:space="preserve">roperty allocated to it will be valued and the price of </w:t>
            </w:r>
            <w:r w:rsidRPr="00787160">
              <w:rPr>
                <w:rFonts w:ascii="Arial" w:hAnsi="Arial" w:cs="Arial"/>
                <w:iCs w:val="0"/>
                <w:szCs w:val="20"/>
              </w:rPr>
              <w:t>Units</w:t>
            </w:r>
            <w:r w:rsidRPr="00EA7776">
              <w:rPr>
                <w:rFonts w:ascii="Arial" w:hAnsi="Arial" w:cs="Arial"/>
                <w:szCs w:val="20"/>
              </w:rPr>
              <w:t xml:space="preserve"> calculated and payments made, if this currency is not the base currency of the umbrella fund; and</w:t>
            </w:r>
          </w:p>
          <w:p w:rsidR="00842165" w:rsidRPr="00EA7776" w:rsidRDefault="00842165" w:rsidP="00842165">
            <w:pPr>
              <w:pStyle w:val="Heading4"/>
              <w:numPr>
                <w:ilvl w:val="3"/>
                <w:numId w:val="25"/>
              </w:numPr>
              <w:tabs>
                <w:tab w:val="clear" w:pos="1440"/>
                <w:tab w:val="num" w:pos="709"/>
                <w:tab w:val="num" w:pos="884"/>
              </w:tabs>
              <w:spacing w:before="60" w:after="60"/>
              <w:ind w:left="709" w:right="60" w:hanging="567"/>
              <w:rPr>
                <w:rFonts w:ascii="Arial" w:hAnsi="Arial" w:cs="Arial"/>
                <w:szCs w:val="20"/>
                <w:lang w:val="en-GB"/>
              </w:rPr>
            </w:pPr>
            <w:r w:rsidRPr="00EA7776">
              <w:rPr>
                <w:rFonts w:ascii="Arial" w:hAnsi="Arial" w:cs="Arial"/>
                <w:szCs w:val="20"/>
              </w:rPr>
              <w:t>in the case of an umbrella fund that is not formed as a protected cell company, in the event of such an umbrella fund being unable to meet liabilities attributable to any particular sub-fund out of the assets attributable to that sub-fund, the remaining liabilities may have to be met out of the assets attributable to other sub-funds (i.e., that the sub-funds are not "ring fenced").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Cs/>
                <w:szCs w:val="20"/>
                <w:lang w:val="en-GB"/>
              </w:rPr>
            </w:pPr>
          </w:p>
        </w:tc>
      </w:tr>
      <w:tr w:rsidR="00842165" w:rsidRPr="00EA7776" w:rsidTr="00333AA3">
        <w:tc>
          <w:tcPr>
            <w:tcW w:w="440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-176" w:right="-142" w:firstLine="176"/>
              <w:rPr>
                <w:rFonts w:ascii="Arial" w:eastAsiaTheme="majorEastAsia" w:hAnsi="Arial" w:cs="Arial"/>
                <w:b/>
                <w:bCs/>
                <w:szCs w:val="20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</w:rPr>
              <w:t>16</w:t>
            </w:r>
          </w:p>
        </w:tc>
        <w:tc>
          <w:tcPr>
            <w:tcW w:w="5187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  <w:lang w:val="en-GB"/>
              </w:rPr>
            </w:pPr>
            <w:r w:rsidRPr="00EA7776">
              <w:rPr>
                <w:rFonts w:ascii="Arial" w:eastAsiaTheme="majorEastAsia" w:hAnsi="Arial" w:cs="Arial"/>
                <w:b/>
                <w:bCs/>
                <w:szCs w:val="20"/>
                <w:lang w:val="en-GB"/>
              </w:rPr>
              <w:t>Key Investor Information Document (KIID)</w:t>
            </w:r>
            <w:r w:rsidRPr="00EA7776">
              <w:rPr>
                <w:rFonts w:ascii="Arial" w:eastAsiaTheme="majorEastAsia" w:hAnsi="Arial" w:cs="Arial"/>
                <w:szCs w:val="20"/>
                <w:lang w:val="en-GB"/>
              </w:rPr>
              <w:t xml:space="preserve"> – Arabic and English</w:t>
            </w:r>
          </w:p>
        </w:tc>
        <w:tc>
          <w:tcPr>
            <w:tcW w:w="1559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842165" w:rsidRPr="00EA7776" w:rsidRDefault="00842165" w:rsidP="00842165">
            <w:pPr>
              <w:pStyle w:val="BodyTextNumbered"/>
              <w:numPr>
                <w:ilvl w:val="0"/>
                <w:numId w:val="0"/>
              </w:numPr>
              <w:spacing w:before="60" w:after="60"/>
              <w:ind w:left="60" w:right="60"/>
              <w:rPr>
                <w:rFonts w:ascii="Arial" w:eastAsiaTheme="majorEastAsia" w:hAnsi="Arial" w:cs="Arial"/>
                <w:b/>
                <w:bCs/>
                <w:szCs w:val="20"/>
                <w:lang w:val="en-GB"/>
              </w:rPr>
            </w:pPr>
          </w:p>
        </w:tc>
      </w:tr>
    </w:tbl>
    <w:p w:rsidR="00036E20" w:rsidRPr="00EA7776" w:rsidRDefault="00036E20" w:rsidP="00A028DC">
      <w:pPr>
        <w:spacing w:after="0"/>
        <w:rPr>
          <w:rFonts w:ascii="Arial" w:hAnsi="Arial" w:cs="Arial"/>
          <w:szCs w:val="20"/>
        </w:rPr>
      </w:pPr>
    </w:p>
    <w:p w:rsidR="00054858" w:rsidRPr="00EA7776" w:rsidRDefault="00C3101D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Cs w:val="20"/>
          <w:lang w:val="en-US"/>
        </w:rPr>
      </w:pPr>
      <w:r w:rsidRPr="00EA7776">
        <w:rPr>
          <w:rFonts w:ascii="Arial" w:eastAsia="Times New Roman" w:hAnsi="Arial" w:cs="Arial"/>
          <w:b/>
          <w:bCs/>
          <w:color w:val="C00000"/>
          <w:szCs w:val="20"/>
          <w:lang w:val="en-US"/>
        </w:rPr>
        <w:t xml:space="preserve">Confirmation </w:t>
      </w:r>
      <w:r w:rsidR="00067F45" w:rsidRPr="00EA7776">
        <w:rPr>
          <w:rFonts w:ascii="Arial" w:eastAsia="Times New Roman" w:hAnsi="Arial" w:cs="Arial"/>
          <w:b/>
          <w:bCs/>
          <w:color w:val="C00000"/>
          <w:szCs w:val="20"/>
          <w:lang w:val="en-US"/>
        </w:rPr>
        <w:t>of non-applicable items</w:t>
      </w:r>
    </w:p>
    <w:p w:rsidR="00054858" w:rsidRPr="00EA7776" w:rsidRDefault="00054858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:rsidR="00054858" w:rsidRPr="00EA7776" w:rsidRDefault="00C3101D" w:rsidP="00787160">
      <w:pPr>
        <w:spacing w:after="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EA7776">
        <w:rPr>
          <w:rFonts w:ascii="Arial" w:eastAsia="Times New Roman" w:hAnsi="Arial" w:cs="Arial"/>
          <w:szCs w:val="20"/>
          <w:lang w:val="en-US"/>
        </w:rPr>
        <w:t>We</w:t>
      </w:r>
      <w:r w:rsidR="00067F45" w:rsidRPr="00EA7776">
        <w:rPr>
          <w:rFonts w:ascii="Arial" w:eastAsia="Times New Roman" w:hAnsi="Arial" w:cs="Arial"/>
          <w:szCs w:val="20"/>
          <w:lang w:val="en-US"/>
        </w:rPr>
        <w:t xml:space="preserve"> confirm we have given due and careful consideration to the items in </w:t>
      </w:r>
      <w:r w:rsidR="00442BEA">
        <w:rPr>
          <w:rFonts w:ascii="Arial" w:eastAsia="Times New Roman" w:hAnsi="Arial" w:cs="Arial"/>
          <w:szCs w:val="20"/>
          <w:lang w:val="en-US"/>
        </w:rPr>
        <w:t>t</w:t>
      </w:r>
      <w:r w:rsidR="00067F45" w:rsidRPr="00EA7776">
        <w:rPr>
          <w:rFonts w:ascii="Arial" w:eastAsia="Times New Roman" w:hAnsi="Arial" w:cs="Arial"/>
          <w:szCs w:val="20"/>
          <w:lang w:val="en-US"/>
        </w:rPr>
        <w:t>his checklist and</w:t>
      </w:r>
      <w:r w:rsidRPr="00EA7776">
        <w:rPr>
          <w:rFonts w:ascii="Arial" w:eastAsia="Times New Roman" w:hAnsi="Arial" w:cs="Arial"/>
          <w:szCs w:val="20"/>
          <w:lang w:val="en-US"/>
        </w:rPr>
        <w:t xml:space="preserve"> inform you that items marked “N/A” in the Page </w:t>
      </w:r>
      <w:r w:rsidR="00442BEA">
        <w:rPr>
          <w:rFonts w:ascii="Arial" w:eastAsia="Times New Roman" w:hAnsi="Arial" w:cs="Arial"/>
          <w:szCs w:val="20"/>
          <w:lang w:val="en-US"/>
        </w:rPr>
        <w:t xml:space="preserve">and Paragraph </w:t>
      </w:r>
      <w:r w:rsidRPr="00EA7776">
        <w:rPr>
          <w:rFonts w:ascii="Arial" w:eastAsia="Times New Roman" w:hAnsi="Arial" w:cs="Arial"/>
          <w:szCs w:val="20"/>
          <w:lang w:val="en-US"/>
        </w:rPr>
        <w:t xml:space="preserve">Reference column of the above checklist are considered </w:t>
      </w:r>
      <w:r w:rsidR="00067F45" w:rsidRPr="00EA7776">
        <w:rPr>
          <w:rFonts w:ascii="Arial" w:eastAsia="Times New Roman" w:hAnsi="Arial" w:cs="Arial"/>
          <w:szCs w:val="20"/>
          <w:lang w:val="en-US"/>
        </w:rPr>
        <w:t xml:space="preserve">by us as </w:t>
      </w:r>
      <w:r w:rsidRPr="00EA7776">
        <w:rPr>
          <w:rFonts w:ascii="Arial" w:eastAsia="Times New Roman" w:hAnsi="Arial" w:cs="Arial"/>
          <w:szCs w:val="20"/>
          <w:lang w:val="en-US"/>
        </w:rPr>
        <w:t>not applicable</w:t>
      </w:r>
      <w:r w:rsidR="00067F45" w:rsidRPr="00EA7776">
        <w:rPr>
          <w:rFonts w:ascii="Arial" w:eastAsia="Times New Roman" w:hAnsi="Arial" w:cs="Arial"/>
          <w:szCs w:val="20"/>
          <w:lang w:val="en-US"/>
        </w:rPr>
        <w:t>. N</w:t>
      </w:r>
      <w:r w:rsidRPr="00EA7776">
        <w:rPr>
          <w:rFonts w:ascii="Arial" w:eastAsia="Times New Roman" w:hAnsi="Arial" w:cs="Arial"/>
          <w:szCs w:val="20"/>
          <w:lang w:val="en-US"/>
        </w:rPr>
        <w:t>o equivalent information is available in relation to the enclosed document</w:t>
      </w:r>
      <w:r w:rsidR="00067F45" w:rsidRPr="00EA7776">
        <w:rPr>
          <w:rFonts w:ascii="Arial" w:eastAsia="Times New Roman" w:hAnsi="Arial" w:cs="Arial"/>
          <w:szCs w:val="20"/>
          <w:lang w:val="en-US"/>
        </w:rPr>
        <w:t xml:space="preserve"> for items marked “N/A”</w:t>
      </w:r>
      <w:r w:rsidRPr="00EA7776">
        <w:rPr>
          <w:rFonts w:ascii="Arial" w:eastAsia="Times New Roman" w:hAnsi="Arial" w:cs="Arial"/>
          <w:szCs w:val="20"/>
          <w:lang w:val="en-US"/>
        </w:rPr>
        <w:t>.</w:t>
      </w:r>
    </w:p>
    <w:p w:rsidR="00054858" w:rsidRPr="00EA7776" w:rsidRDefault="00054858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val="en-US"/>
        </w:rPr>
      </w:pPr>
    </w:p>
    <w:tbl>
      <w:tblPr>
        <w:tblW w:w="90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3936"/>
      </w:tblGrid>
      <w:tr w:rsidR="00054858" w:rsidRPr="00EA7776" w:rsidTr="005E3B8B">
        <w:trPr>
          <w:cantSplit/>
          <w:tblHeader/>
        </w:trPr>
        <w:tc>
          <w:tcPr>
            <w:tcW w:w="5104" w:type="dxa"/>
            <w:shd w:val="clear" w:color="auto" w:fill="FFFFFF"/>
            <w:tcMar>
              <w:top w:w="57" w:type="dxa"/>
            </w:tcMar>
          </w:tcPr>
          <w:p w:rsidR="00054858" w:rsidRPr="00EA7776" w:rsidRDefault="00C3101D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EA7776">
              <w:rPr>
                <w:rFonts w:ascii="Arial" w:eastAsia="Times New Roman" w:hAnsi="Arial" w:cs="Arial"/>
                <w:szCs w:val="20"/>
              </w:rPr>
              <w:t>Signed by</w:t>
            </w:r>
          </w:p>
          <w:p w:rsidR="00054858" w:rsidRPr="00EA7776" w:rsidRDefault="0005485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054858" w:rsidRPr="00EA7776" w:rsidRDefault="0005485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36" w:type="dxa"/>
            <w:shd w:val="clear" w:color="auto" w:fill="FFFFFF"/>
            <w:tcMar>
              <w:top w:w="57" w:type="dxa"/>
            </w:tcMar>
          </w:tcPr>
          <w:p w:rsidR="00054858" w:rsidRPr="00EA7776" w:rsidRDefault="0005485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54858" w:rsidRPr="00EA7776" w:rsidTr="005E3B8B">
        <w:trPr>
          <w:cantSplit/>
          <w:tblHeader/>
        </w:trPr>
        <w:tc>
          <w:tcPr>
            <w:tcW w:w="5104" w:type="dxa"/>
            <w:shd w:val="clear" w:color="auto" w:fill="FFFFFF"/>
            <w:tcMar>
              <w:top w:w="57" w:type="dxa"/>
            </w:tcMar>
          </w:tcPr>
          <w:p w:rsidR="00054858" w:rsidRPr="00EA7776" w:rsidRDefault="00C3101D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EA7776">
              <w:rPr>
                <w:rFonts w:ascii="Arial" w:eastAsia="Times New Roman" w:hAnsi="Arial" w:cs="Arial"/>
                <w:szCs w:val="20"/>
              </w:rPr>
              <w:t>On behalf of</w:t>
            </w:r>
          </w:p>
          <w:p w:rsidR="00054858" w:rsidRPr="00EA7776" w:rsidRDefault="0005485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:rsidR="00054858" w:rsidRPr="00EA7776" w:rsidRDefault="0005485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36" w:type="dxa"/>
            <w:shd w:val="clear" w:color="auto" w:fill="FFFFFF"/>
            <w:tcMar>
              <w:top w:w="57" w:type="dxa"/>
            </w:tcMar>
          </w:tcPr>
          <w:p w:rsidR="00054858" w:rsidRPr="00EA7776" w:rsidRDefault="0005485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</w:tbl>
    <w:p w:rsidR="00054858" w:rsidRPr="00EA7776" w:rsidRDefault="00054858">
      <w:pPr>
        <w:rPr>
          <w:rFonts w:ascii="Arial" w:eastAsia="Times New Roman" w:hAnsi="Arial" w:cs="Arial"/>
          <w:szCs w:val="20"/>
          <w:lang w:val="en-US"/>
        </w:rPr>
      </w:pPr>
    </w:p>
    <w:sectPr w:rsidR="00054858" w:rsidRPr="00EA7776" w:rsidSect="00075B45">
      <w:headerReference w:type="default" r:id="rId8"/>
      <w:footerReference w:type="default" r:id="rId9"/>
      <w:pgSz w:w="12240" w:h="15840"/>
      <w:pgMar w:top="1668" w:right="1608" w:bottom="1440" w:left="180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08F" w:rsidRDefault="0086608F">
      <w:pPr>
        <w:spacing w:after="0" w:line="240" w:lineRule="auto"/>
      </w:pPr>
      <w:r>
        <w:separator/>
      </w:r>
    </w:p>
  </w:endnote>
  <w:endnote w:type="continuationSeparator" w:id="0">
    <w:p w:rsidR="0086608F" w:rsidRDefault="0086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74103"/>
      <w:docPartObj>
        <w:docPartGallery w:val="Page Numbers (Top of Page)"/>
        <w:docPartUnique/>
      </w:docPartObj>
    </w:sdtPr>
    <w:sdtEndPr>
      <w:rPr>
        <w:rStyle w:val="PageNumber"/>
        <w:rFonts w:ascii="Arial" w:hAnsi="Arial"/>
        <w:noProof/>
        <w:color w:val="CC0000"/>
        <w:lang w:val="en-US"/>
      </w:rPr>
    </w:sdtEndPr>
    <w:sdtContent>
      <w:p w:rsidR="00A91E9F" w:rsidRDefault="00A91E9F">
        <w:pPr>
          <w:pStyle w:val="Header"/>
          <w:tabs>
            <w:tab w:val="clear" w:pos="4320"/>
            <w:tab w:val="clear" w:pos="8640"/>
            <w:tab w:val="left" w:pos="3840"/>
          </w:tabs>
          <w:ind w:right="-716"/>
          <w:rPr>
            <w:rFonts w:ascii="Arial" w:hAnsi="Arial" w:cs="Arial"/>
            <w:color w:val="CC0000"/>
            <w:lang w:val="en-US"/>
          </w:rPr>
        </w:pPr>
        <w:r>
          <w:t xml:space="preserve">                                                                                </w:t>
        </w:r>
        <w:r>
          <w:rPr>
            <w:rStyle w:val="PageNumber"/>
            <w:rFonts w:ascii="Arial" w:hAnsi="Arial"/>
            <w:color w:val="CC0000"/>
            <w:lang w:val="en-US"/>
          </w:rPr>
          <w:fldChar w:fldCharType="begin"/>
        </w:r>
        <w:r>
          <w:rPr>
            <w:rStyle w:val="PageNumber"/>
            <w:rFonts w:ascii="Arial" w:hAnsi="Arial"/>
            <w:color w:val="CC0000"/>
            <w:lang w:val="en-US"/>
          </w:rPr>
          <w:instrText xml:space="preserve"> PAGE </w:instrText>
        </w:r>
        <w:r>
          <w:rPr>
            <w:rStyle w:val="PageNumber"/>
            <w:rFonts w:ascii="Arial" w:hAnsi="Arial"/>
            <w:color w:val="CC0000"/>
            <w:lang w:val="en-US"/>
          </w:rPr>
          <w:fldChar w:fldCharType="separate"/>
        </w:r>
        <w:r w:rsidR="000B42DF">
          <w:rPr>
            <w:rStyle w:val="PageNumber"/>
            <w:rFonts w:ascii="Arial" w:hAnsi="Arial"/>
            <w:noProof/>
            <w:color w:val="CC0000"/>
            <w:lang w:val="en-US"/>
          </w:rPr>
          <w:t>6</w:t>
        </w:r>
        <w:r>
          <w:rPr>
            <w:rStyle w:val="PageNumber"/>
            <w:rFonts w:ascii="Arial" w:hAnsi="Arial"/>
            <w:color w:val="CC0000"/>
            <w:lang w:val="en-US"/>
          </w:rPr>
          <w:fldChar w:fldCharType="end"/>
        </w:r>
        <w:r>
          <w:rPr>
            <w:rStyle w:val="PageNumber"/>
            <w:rFonts w:ascii="Arial" w:hAnsi="Arial"/>
            <w:color w:val="CC0000"/>
            <w:lang w:val="en-US"/>
          </w:rPr>
          <w:t xml:space="preserve"> of </w:t>
        </w:r>
        <w:r>
          <w:rPr>
            <w:rStyle w:val="PageNumber"/>
            <w:rFonts w:ascii="Arial" w:hAnsi="Arial"/>
            <w:color w:val="CC0000"/>
            <w:lang w:val="en-US"/>
          </w:rPr>
          <w:fldChar w:fldCharType="begin"/>
        </w:r>
        <w:r>
          <w:rPr>
            <w:rStyle w:val="PageNumber"/>
            <w:rFonts w:ascii="Arial" w:hAnsi="Arial"/>
            <w:color w:val="CC0000"/>
            <w:lang w:val="en-US"/>
          </w:rPr>
          <w:instrText xml:space="preserve"> NUMPAGES </w:instrText>
        </w:r>
        <w:r>
          <w:rPr>
            <w:rStyle w:val="PageNumber"/>
            <w:rFonts w:ascii="Arial" w:hAnsi="Arial"/>
            <w:color w:val="CC0000"/>
            <w:lang w:val="en-US"/>
          </w:rPr>
          <w:fldChar w:fldCharType="separate"/>
        </w:r>
        <w:r w:rsidR="000B42DF">
          <w:rPr>
            <w:rStyle w:val="PageNumber"/>
            <w:rFonts w:ascii="Arial" w:hAnsi="Arial"/>
            <w:noProof/>
            <w:color w:val="CC0000"/>
            <w:lang w:val="en-US"/>
          </w:rPr>
          <w:t>7</w:t>
        </w:r>
        <w:r>
          <w:rPr>
            <w:rStyle w:val="PageNumber"/>
            <w:rFonts w:ascii="Arial" w:hAnsi="Arial"/>
            <w:color w:val="CC0000"/>
            <w:lang w:val="en-US"/>
          </w:rPr>
          <w:fldChar w:fldCharType="end"/>
        </w:r>
        <w:r>
          <w:rPr>
            <w:rStyle w:val="PageNumber"/>
            <w:rFonts w:ascii="Arial" w:hAnsi="Arial"/>
            <w:color w:val="CC0000"/>
            <w:lang w:val="en-US"/>
          </w:rPr>
          <w:tab/>
        </w:r>
        <w:r>
          <w:rPr>
            <w:rFonts w:ascii="Arial" w:hAnsi="Arial" w:cs="Arial"/>
            <w:noProof/>
            <w:color w:val="CC0000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B6318D4" wp14:editId="63BC59DA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-21590</wp:posOffset>
                  </wp:positionV>
                  <wp:extent cx="6400800" cy="0"/>
                  <wp:effectExtent l="28575" t="35560" r="28575" b="31115"/>
                  <wp:wrapNone/>
                  <wp:docPr id="2" name="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C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D38A9C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1.7pt" to="46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OYHw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" strokecolor="#c00" strokeweight="4.5pt">
                  <v:stroke linestyle="thinThick"/>
                </v:line>
              </w:pict>
            </mc:Fallback>
          </mc:AlternateContent>
        </w:r>
      </w:p>
      <w:p w:rsidR="00A91E9F" w:rsidRDefault="0086608F">
        <w:pPr>
          <w:pStyle w:val="Footer"/>
          <w:jc w:val="center"/>
          <w:rPr>
            <w:rStyle w:val="PageNumber"/>
            <w:rFonts w:ascii="Arial" w:hAnsi="Arial"/>
            <w:noProof/>
            <w:color w:val="CC0000"/>
            <w:lang w:val="en-US"/>
          </w:rPr>
        </w:pPr>
      </w:p>
    </w:sdtContent>
  </w:sdt>
  <w:p w:rsidR="00A91E9F" w:rsidRDefault="00A91E9F">
    <w:pPr>
      <w:pStyle w:val="Footer"/>
    </w:pPr>
  </w:p>
  <w:p w:rsidR="00A91E9F" w:rsidRDefault="00A91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08F" w:rsidRDefault="0086608F">
      <w:pPr>
        <w:spacing w:after="0" w:line="240" w:lineRule="auto"/>
      </w:pPr>
      <w:r>
        <w:separator/>
      </w:r>
    </w:p>
  </w:footnote>
  <w:footnote w:type="continuationSeparator" w:id="0">
    <w:p w:rsidR="0086608F" w:rsidRDefault="0086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E9F" w:rsidRDefault="00A91E9F">
    <w:pPr>
      <w:pStyle w:val="Header"/>
      <w:tabs>
        <w:tab w:val="right" w:pos="9360"/>
      </w:tabs>
      <w:spacing w:after="0"/>
      <w:ind w:right="-1165"/>
      <w:jc w:val="right"/>
    </w:pPr>
    <w:r>
      <w:rPr>
        <w:noProof/>
        <w:lang w:eastAsia="en-GB"/>
      </w:rPr>
      <w:drawing>
        <wp:inline distT="0" distB="0" distL="0" distR="0" wp14:anchorId="5F1D132D" wp14:editId="7975974F">
          <wp:extent cx="933450" cy="581025"/>
          <wp:effectExtent l="0" t="0" r="0" b="9525"/>
          <wp:docPr id="9" name="Picture 9" descr="Df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f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1E9F" w:rsidRDefault="00A91E9F">
    <w:pPr>
      <w:pStyle w:val="Header"/>
      <w:tabs>
        <w:tab w:val="right" w:pos="9360"/>
      </w:tabs>
      <w:ind w:right="-858"/>
      <w:jc w:val="right"/>
      <w:rPr>
        <w:rFonts w:ascii="Arial" w:hAnsi="Arial" w:cs="Arial"/>
        <w:b/>
        <w:color w:val="CC0000"/>
      </w:rPr>
    </w:pPr>
    <w:r>
      <w:rPr>
        <w:rFonts w:ascii="Arial" w:hAnsi="Arial" w:cs="Arial"/>
        <w:noProof/>
        <w:color w:val="CC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ABC78" wp14:editId="7B5D0A5A">
              <wp:simplePos x="0" y="0"/>
              <wp:positionH relativeFrom="column">
                <wp:posOffset>-342900</wp:posOffset>
              </wp:positionH>
              <wp:positionV relativeFrom="paragraph">
                <wp:posOffset>215900</wp:posOffset>
              </wp:positionV>
              <wp:extent cx="6400800" cy="0"/>
              <wp:effectExtent l="0" t="19050" r="19050" b="381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9D849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7pt" to="47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" strokecolor="#c00" strokeweight="4.5pt">
              <v:stroke linestyle="thinThick"/>
            </v:line>
          </w:pict>
        </mc:Fallback>
      </mc:AlternateContent>
    </w:r>
    <w:r>
      <w:rPr>
        <w:rFonts w:ascii="Arial" w:hAnsi="Arial" w:cs="Arial"/>
        <w:b/>
        <w:color w:val="CC0000"/>
      </w:rPr>
      <w:t xml:space="preserve"> </w:t>
    </w:r>
    <w:r w:rsidR="00A46CE8">
      <w:rPr>
        <w:rFonts w:ascii="Arial" w:hAnsi="Arial" w:cs="Arial"/>
        <w:b/>
        <w:color w:val="CC0000"/>
      </w:rPr>
      <w:t>Passported Public Fund Prospectus Checklist</w:t>
    </w:r>
    <w:r>
      <w:rPr>
        <w:rFonts w:ascii="Arial" w:hAnsi="Arial" w:cs="Arial"/>
        <w:b/>
        <w:color w:val="CC0000"/>
      </w:rPr>
      <w:t>: Prospectus Content</w:t>
    </w:r>
  </w:p>
  <w:p w:rsidR="00A91E9F" w:rsidRDefault="00A91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4027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1" w15:restartNumberingAfterBreak="0">
    <w:nsid w:val="0B4037B5"/>
    <w:multiLevelType w:val="hybridMultilevel"/>
    <w:tmpl w:val="099CF41C"/>
    <w:lvl w:ilvl="0" w:tplc="935A544C">
      <w:start w:val="1"/>
      <w:numFmt w:val="decimal"/>
      <w:pStyle w:val="Chap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38580206">
      <w:start w:val="1"/>
      <w:numFmt w:val="lowerRoman"/>
      <w:pStyle w:val="Sectio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634B07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69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09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565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21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EB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4D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9319D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3" w15:restartNumberingAfterBreak="0">
    <w:nsid w:val="12FF72E5"/>
    <w:multiLevelType w:val="hybridMultilevel"/>
    <w:tmpl w:val="5CFA4390"/>
    <w:lvl w:ilvl="0" w:tplc="551806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98CA1F2" w:tentative="1">
      <w:start w:val="1"/>
      <w:numFmt w:val="lowerLetter"/>
      <w:lvlText w:val="%2."/>
      <w:lvlJc w:val="left"/>
      <w:pPr>
        <w:ind w:left="1440" w:hanging="360"/>
      </w:pPr>
    </w:lvl>
    <w:lvl w:ilvl="2" w:tplc="3614E402" w:tentative="1">
      <w:start w:val="1"/>
      <w:numFmt w:val="lowerRoman"/>
      <w:lvlText w:val="%3."/>
      <w:lvlJc w:val="right"/>
      <w:pPr>
        <w:ind w:left="2160" w:hanging="180"/>
      </w:pPr>
    </w:lvl>
    <w:lvl w:ilvl="3" w:tplc="E6FE2112" w:tentative="1">
      <w:start w:val="1"/>
      <w:numFmt w:val="decimal"/>
      <w:lvlText w:val="%4."/>
      <w:lvlJc w:val="left"/>
      <w:pPr>
        <w:ind w:left="2880" w:hanging="360"/>
      </w:pPr>
    </w:lvl>
    <w:lvl w:ilvl="4" w:tplc="1CF2F47C" w:tentative="1">
      <w:start w:val="1"/>
      <w:numFmt w:val="lowerLetter"/>
      <w:lvlText w:val="%5."/>
      <w:lvlJc w:val="left"/>
      <w:pPr>
        <w:ind w:left="3600" w:hanging="360"/>
      </w:pPr>
    </w:lvl>
    <w:lvl w:ilvl="5" w:tplc="F7727B7C" w:tentative="1">
      <w:start w:val="1"/>
      <w:numFmt w:val="lowerRoman"/>
      <w:lvlText w:val="%6."/>
      <w:lvlJc w:val="right"/>
      <w:pPr>
        <w:ind w:left="4320" w:hanging="180"/>
      </w:pPr>
    </w:lvl>
    <w:lvl w:ilvl="6" w:tplc="DB62DA42" w:tentative="1">
      <w:start w:val="1"/>
      <w:numFmt w:val="decimal"/>
      <w:lvlText w:val="%7."/>
      <w:lvlJc w:val="left"/>
      <w:pPr>
        <w:ind w:left="5040" w:hanging="360"/>
      </w:pPr>
    </w:lvl>
    <w:lvl w:ilvl="7" w:tplc="C6181F02" w:tentative="1">
      <w:start w:val="1"/>
      <w:numFmt w:val="lowerLetter"/>
      <w:lvlText w:val="%8."/>
      <w:lvlJc w:val="left"/>
      <w:pPr>
        <w:ind w:left="5760" w:hanging="360"/>
      </w:pPr>
    </w:lvl>
    <w:lvl w:ilvl="8" w:tplc="F0BE5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6244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5" w15:restartNumberingAfterBreak="0">
    <w:nsid w:val="1C52307D"/>
    <w:multiLevelType w:val="hybridMultilevel"/>
    <w:tmpl w:val="5914B1BE"/>
    <w:lvl w:ilvl="0" w:tplc="C678966C">
      <w:start w:val="1"/>
      <w:numFmt w:val="lowerLetter"/>
      <w:lvlText w:val="(%1)"/>
      <w:lvlJc w:val="left"/>
      <w:pPr>
        <w:ind w:left="3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6" w:hanging="360"/>
      </w:pPr>
    </w:lvl>
    <w:lvl w:ilvl="2" w:tplc="0809001B" w:tentative="1">
      <w:start w:val="1"/>
      <w:numFmt w:val="lowerRoman"/>
      <w:lvlText w:val="%3."/>
      <w:lvlJc w:val="right"/>
      <w:pPr>
        <w:ind w:left="1766" w:hanging="180"/>
      </w:pPr>
    </w:lvl>
    <w:lvl w:ilvl="3" w:tplc="0809000F" w:tentative="1">
      <w:start w:val="1"/>
      <w:numFmt w:val="decimal"/>
      <w:lvlText w:val="%4."/>
      <w:lvlJc w:val="left"/>
      <w:pPr>
        <w:ind w:left="2486" w:hanging="360"/>
      </w:pPr>
    </w:lvl>
    <w:lvl w:ilvl="4" w:tplc="08090019" w:tentative="1">
      <w:start w:val="1"/>
      <w:numFmt w:val="lowerLetter"/>
      <w:lvlText w:val="%5."/>
      <w:lvlJc w:val="left"/>
      <w:pPr>
        <w:ind w:left="3206" w:hanging="360"/>
      </w:pPr>
    </w:lvl>
    <w:lvl w:ilvl="5" w:tplc="0809001B" w:tentative="1">
      <w:start w:val="1"/>
      <w:numFmt w:val="lowerRoman"/>
      <w:lvlText w:val="%6."/>
      <w:lvlJc w:val="right"/>
      <w:pPr>
        <w:ind w:left="3926" w:hanging="180"/>
      </w:pPr>
    </w:lvl>
    <w:lvl w:ilvl="6" w:tplc="0809000F" w:tentative="1">
      <w:start w:val="1"/>
      <w:numFmt w:val="decimal"/>
      <w:lvlText w:val="%7."/>
      <w:lvlJc w:val="left"/>
      <w:pPr>
        <w:ind w:left="4646" w:hanging="360"/>
      </w:pPr>
    </w:lvl>
    <w:lvl w:ilvl="7" w:tplc="08090019" w:tentative="1">
      <w:start w:val="1"/>
      <w:numFmt w:val="lowerLetter"/>
      <w:lvlText w:val="%8."/>
      <w:lvlJc w:val="left"/>
      <w:pPr>
        <w:ind w:left="5366" w:hanging="360"/>
      </w:pPr>
    </w:lvl>
    <w:lvl w:ilvl="8" w:tplc="08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6" w15:restartNumberingAfterBreak="0">
    <w:nsid w:val="234A78D5"/>
    <w:multiLevelType w:val="hybridMultilevel"/>
    <w:tmpl w:val="3A6CB324"/>
    <w:lvl w:ilvl="0" w:tplc="19C032A4">
      <w:start w:val="1"/>
      <w:numFmt w:val="decimal"/>
      <w:pStyle w:val="BodyTextNumbered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1" w:tplc="180A8028" w:tentative="1">
      <w:start w:val="1"/>
      <w:numFmt w:val="lowerLetter"/>
      <w:lvlText w:val="%2."/>
      <w:lvlJc w:val="left"/>
      <w:pPr>
        <w:ind w:left="1440" w:hanging="360"/>
      </w:pPr>
    </w:lvl>
    <w:lvl w:ilvl="2" w:tplc="FAEA79C2" w:tentative="1">
      <w:start w:val="1"/>
      <w:numFmt w:val="lowerRoman"/>
      <w:lvlText w:val="%3."/>
      <w:lvlJc w:val="right"/>
      <w:pPr>
        <w:ind w:left="2160" w:hanging="180"/>
      </w:pPr>
    </w:lvl>
    <w:lvl w:ilvl="3" w:tplc="6E46FE3E" w:tentative="1">
      <w:start w:val="1"/>
      <w:numFmt w:val="decimal"/>
      <w:lvlText w:val="%4."/>
      <w:lvlJc w:val="left"/>
      <w:pPr>
        <w:ind w:left="2880" w:hanging="360"/>
      </w:pPr>
    </w:lvl>
    <w:lvl w:ilvl="4" w:tplc="3FB68928" w:tentative="1">
      <w:start w:val="1"/>
      <w:numFmt w:val="lowerLetter"/>
      <w:lvlText w:val="%5."/>
      <w:lvlJc w:val="left"/>
      <w:pPr>
        <w:ind w:left="3600" w:hanging="360"/>
      </w:pPr>
    </w:lvl>
    <w:lvl w:ilvl="5" w:tplc="57189930" w:tentative="1">
      <w:start w:val="1"/>
      <w:numFmt w:val="lowerRoman"/>
      <w:lvlText w:val="%6."/>
      <w:lvlJc w:val="right"/>
      <w:pPr>
        <w:ind w:left="4320" w:hanging="180"/>
      </w:pPr>
    </w:lvl>
    <w:lvl w:ilvl="6" w:tplc="635C23CE" w:tentative="1">
      <w:start w:val="1"/>
      <w:numFmt w:val="decimal"/>
      <w:lvlText w:val="%7."/>
      <w:lvlJc w:val="left"/>
      <w:pPr>
        <w:ind w:left="5040" w:hanging="360"/>
      </w:pPr>
    </w:lvl>
    <w:lvl w:ilvl="7" w:tplc="EA382782" w:tentative="1">
      <w:start w:val="1"/>
      <w:numFmt w:val="lowerLetter"/>
      <w:lvlText w:val="%8."/>
      <w:lvlJc w:val="left"/>
      <w:pPr>
        <w:ind w:left="5760" w:hanging="360"/>
      </w:pPr>
    </w:lvl>
    <w:lvl w:ilvl="8" w:tplc="2180A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504FE"/>
    <w:multiLevelType w:val="hybridMultilevel"/>
    <w:tmpl w:val="27C2B54E"/>
    <w:lvl w:ilvl="0" w:tplc="68DAED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2CE0AA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A0437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528C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9221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884F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9CA5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DF8C1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123D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B97C7E"/>
    <w:multiLevelType w:val="multilevel"/>
    <w:tmpl w:val="14B0E454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9" w15:restartNumberingAfterBreak="0">
    <w:nsid w:val="2E96743D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10" w15:restartNumberingAfterBreak="0">
    <w:nsid w:val="31762C76"/>
    <w:multiLevelType w:val="multilevel"/>
    <w:tmpl w:val="DC16FB18"/>
    <w:lvl w:ilvl="0">
      <w:start w:val="1"/>
      <w:numFmt w:val="decimal"/>
      <w:suff w:val="nothing"/>
      <w:lvlText w:val="Part %1"/>
      <w:lvlJc w:val="left"/>
      <w:pPr>
        <w:ind w:left="936" w:hanging="936"/>
      </w:pPr>
      <w:rPr>
        <w:rFonts w:hint="default"/>
        <w:b/>
        <w:i w:val="0"/>
        <w:caps/>
        <w:smallCaps w:val="0"/>
        <w:vanish w:val="0"/>
        <w:color w:val="01000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vanish w:val="0"/>
        <w:color w:val="01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vanish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color w:val="010000"/>
        <w:u w:val="no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4320" w:hanging="2160"/>
      </w:pPr>
      <w:rPr>
        <w:rFonts w:hint="default"/>
        <w:vanish w:val="0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vanish w:val="0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vanish w:val="0"/>
        <w:color w:val="010000"/>
        <w:u w:val="none"/>
      </w:rPr>
    </w:lvl>
  </w:abstractNum>
  <w:abstractNum w:abstractNumId="11" w15:restartNumberingAfterBreak="0">
    <w:nsid w:val="38EB4E8C"/>
    <w:multiLevelType w:val="hybridMultilevel"/>
    <w:tmpl w:val="371CA6A6"/>
    <w:lvl w:ilvl="0" w:tplc="67BAA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BA2C418" w:tentative="1">
      <w:start w:val="1"/>
      <w:numFmt w:val="lowerLetter"/>
      <w:lvlText w:val="%2."/>
      <w:lvlJc w:val="left"/>
      <w:pPr>
        <w:ind w:left="1440" w:hanging="360"/>
      </w:pPr>
    </w:lvl>
    <w:lvl w:ilvl="2" w:tplc="4DDEA626" w:tentative="1">
      <w:start w:val="1"/>
      <w:numFmt w:val="lowerRoman"/>
      <w:lvlText w:val="%3."/>
      <w:lvlJc w:val="right"/>
      <w:pPr>
        <w:ind w:left="2160" w:hanging="180"/>
      </w:pPr>
    </w:lvl>
    <w:lvl w:ilvl="3" w:tplc="A49C6286" w:tentative="1">
      <w:start w:val="1"/>
      <w:numFmt w:val="decimal"/>
      <w:lvlText w:val="%4."/>
      <w:lvlJc w:val="left"/>
      <w:pPr>
        <w:ind w:left="2880" w:hanging="360"/>
      </w:pPr>
    </w:lvl>
    <w:lvl w:ilvl="4" w:tplc="151E81F2" w:tentative="1">
      <w:start w:val="1"/>
      <w:numFmt w:val="lowerLetter"/>
      <w:lvlText w:val="%5."/>
      <w:lvlJc w:val="left"/>
      <w:pPr>
        <w:ind w:left="3600" w:hanging="360"/>
      </w:pPr>
    </w:lvl>
    <w:lvl w:ilvl="5" w:tplc="B8261C48" w:tentative="1">
      <w:start w:val="1"/>
      <w:numFmt w:val="lowerRoman"/>
      <w:lvlText w:val="%6."/>
      <w:lvlJc w:val="right"/>
      <w:pPr>
        <w:ind w:left="4320" w:hanging="180"/>
      </w:pPr>
    </w:lvl>
    <w:lvl w:ilvl="6" w:tplc="47E0E4C8" w:tentative="1">
      <w:start w:val="1"/>
      <w:numFmt w:val="decimal"/>
      <w:lvlText w:val="%7."/>
      <w:lvlJc w:val="left"/>
      <w:pPr>
        <w:ind w:left="5040" w:hanging="360"/>
      </w:pPr>
    </w:lvl>
    <w:lvl w:ilvl="7" w:tplc="621A0A80" w:tentative="1">
      <w:start w:val="1"/>
      <w:numFmt w:val="lowerLetter"/>
      <w:lvlText w:val="%8."/>
      <w:lvlJc w:val="left"/>
      <w:pPr>
        <w:ind w:left="5760" w:hanging="360"/>
      </w:pPr>
    </w:lvl>
    <w:lvl w:ilvl="8" w:tplc="1C148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E31E5"/>
    <w:multiLevelType w:val="hybridMultilevel"/>
    <w:tmpl w:val="EE4EBAFC"/>
    <w:lvl w:ilvl="0" w:tplc="577A358E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C387EDE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14" w15:restartNumberingAfterBreak="0">
    <w:nsid w:val="3D39031C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15" w15:restartNumberingAfterBreak="0">
    <w:nsid w:val="4CE658AC"/>
    <w:multiLevelType w:val="hybridMultilevel"/>
    <w:tmpl w:val="868AC4A2"/>
    <w:lvl w:ilvl="0" w:tplc="549C5FB2">
      <w:start w:val="1"/>
      <w:numFmt w:val="decimal"/>
      <w:lvlText w:val="%1."/>
      <w:lvlJc w:val="left"/>
      <w:pPr>
        <w:ind w:left="468" w:hanging="326"/>
      </w:pPr>
      <w:rPr>
        <w:rFonts w:hint="default"/>
        <w:b/>
      </w:rPr>
    </w:lvl>
    <w:lvl w:ilvl="1" w:tplc="B440A3C6" w:tentative="1">
      <w:start w:val="1"/>
      <w:numFmt w:val="lowerLetter"/>
      <w:lvlText w:val="%2."/>
      <w:lvlJc w:val="left"/>
      <w:pPr>
        <w:ind w:left="828" w:hanging="360"/>
      </w:pPr>
    </w:lvl>
    <w:lvl w:ilvl="2" w:tplc="7450913C" w:tentative="1">
      <w:start w:val="1"/>
      <w:numFmt w:val="lowerRoman"/>
      <w:lvlText w:val="%3."/>
      <w:lvlJc w:val="right"/>
      <w:pPr>
        <w:ind w:left="1548" w:hanging="180"/>
      </w:pPr>
    </w:lvl>
    <w:lvl w:ilvl="3" w:tplc="2FB4608E" w:tentative="1">
      <w:start w:val="1"/>
      <w:numFmt w:val="decimal"/>
      <w:lvlText w:val="%4."/>
      <w:lvlJc w:val="left"/>
      <w:pPr>
        <w:ind w:left="2268" w:hanging="360"/>
      </w:pPr>
    </w:lvl>
    <w:lvl w:ilvl="4" w:tplc="9CBA1CF2" w:tentative="1">
      <w:start w:val="1"/>
      <w:numFmt w:val="lowerLetter"/>
      <w:lvlText w:val="%5."/>
      <w:lvlJc w:val="left"/>
      <w:pPr>
        <w:ind w:left="2988" w:hanging="360"/>
      </w:pPr>
    </w:lvl>
    <w:lvl w:ilvl="5" w:tplc="B9740692" w:tentative="1">
      <w:start w:val="1"/>
      <w:numFmt w:val="lowerRoman"/>
      <w:lvlText w:val="%6."/>
      <w:lvlJc w:val="right"/>
      <w:pPr>
        <w:ind w:left="3708" w:hanging="180"/>
      </w:pPr>
    </w:lvl>
    <w:lvl w:ilvl="6" w:tplc="6F18439C" w:tentative="1">
      <w:start w:val="1"/>
      <w:numFmt w:val="decimal"/>
      <w:lvlText w:val="%7."/>
      <w:lvlJc w:val="left"/>
      <w:pPr>
        <w:ind w:left="4428" w:hanging="360"/>
      </w:pPr>
    </w:lvl>
    <w:lvl w:ilvl="7" w:tplc="14BCE194" w:tentative="1">
      <w:start w:val="1"/>
      <w:numFmt w:val="lowerLetter"/>
      <w:lvlText w:val="%8."/>
      <w:lvlJc w:val="left"/>
      <w:pPr>
        <w:ind w:left="5148" w:hanging="360"/>
      </w:pPr>
    </w:lvl>
    <w:lvl w:ilvl="8" w:tplc="89CE0706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6" w15:restartNumberingAfterBreak="0">
    <w:nsid w:val="57AB0686"/>
    <w:multiLevelType w:val="multilevel"/>
    <w:tmpl w:val="14B0E454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17" w15:restartNumberingAfterBreak="0">
    <w:nsid w:val="58382026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18" w15:restartNumberingAfterBreak="0">
    <w:nsid w:val="59A610C4"/>
    <w:multiLevelType w:val="hybridMultilevel"/>
    <w:tmpl w:val="B88AF91A"/>
    <w:lvl w:ilvl="0" w:tplc="84960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A5CC5"/>
    <w:multiLevelType w:val="hybridMultilevel"/>
    <w:tmpl w:val="8946D866"/>
    <w:lvl w:ilvl="0" w:tplc="8038815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624B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21" w15:restartNumberingAfterBreak="0">
    <w:nsid w:val="5FF326E2"/>
    <w:multiLevelType w:val="hybridMultilevel"/>
    <w:tmpl w:val="778008C0"/>
    <w:lvl w:ilvl="0" w:tplc="8CE22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05DFA"/>
    <w:multiLevelType w:val="hybridMultilevel"/>
    <w:tmpl w:val="5C98C6AA"/>
    <w:lvl w:ilvl="0" w:tplc="8A0437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09C7"/>
    <w:multiLevelType w:val="multilevel"/>
    <w:tmpl w:val="14B0E454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24" w15:restartNumberingAfterBreak="0">
    <w:nsid w:val="738F042E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25" w15:restartNumberingAfterBreak="0">
    <w:nsid w:val="77677702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26" w15:restartNumberingAfterBreak="0">
    <w:nsid w:val="79A90F38"/>
    <w:multiLevelType w:val="multilevel"/>
    <w:tmpl w:val="14B0E454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27" w15:restartNumberingAfterBreak="0">
    <w:nsid w:val="7B571210"/>
    <w:multiLevelType w:val="multilevel"/>
    <w:tmpl w:val="4374464C"/>
    <w:lvl w:ilvl="0">
      <w:start w:val="1"/>
      <w:numFmt w:val="decimal"/>
      <w:suff w:val="space"/>
      <w:lvlText w:val="part %1: "/>
      <w:lvlJc w:val="center"/>
      <w:pPr>
        <w:ind w:left="2977" w:firstLine="0"/>
      </w:pPr>
      <w:rPr>
        <w:rFonts w:ascii="Times New Roman" w:hAnsi="Times New Roman" w:cs="Times New Roman" w:hint="default"/>
        <w:b/>
        <w:i w:val="0"/>
        <w:caps/>
        <w:smallCaps w:val="0"/>
        <w:color w:val="010000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010000"/>
        <w:u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1000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1000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28" w15:restartNumberingAfterBreak="0">
    <w:nsid w:val="7C6E4D09"/>
    <w:multiLevelType w:val="multilevel"/>
    <w:tmpl w:val="09FC8AD0"/>
    <w:name w:val="Scheme 12(a) UK10 - Schedule"/>
    <w:lvl w:ilvl="0">
      <w:start w:val="1"/>
      <w:numFmt w:val="decimal"/>
      <w:pStyle w:val="S2Heading1"/>
      <w:suff w:val="nothing"/>
      <w:lvlText w:val="APPENDIX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color w:val="010000"/>
        <w:u w:val="none"/>
      </w:rPr>
    </w:lvl>
    <w:lvl w:ilvl="1">
      <w:start w:val="1"/>
      <w:numFmt w:val="decimal"/>
      <w:pStyle w:val="S2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10000"/>
        <w:u w:val="none"/>
      </w:rPr>
    </w:lvl>
    <w:lvl w:ilvl="2">
      <w:start w:val="1"/>
      <w:numFmt w:val="decimal"/>
      <w:pStyle w:val="S2Heading3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10000"/>
        <w:u w:val="none"/>
      </w:rPr>
    </w:lvl>
    <w:lvl w:ilvl="3">
      <w:start w:val="1"/>
      <w:numFmt w:val="lowerLetter"/>
      <w:pStyle w:val="S2Heading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Roman"/>
      <w:pStyle w:val="S2Heading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10000"/>
        <w:u w:val="none"/>
      </w:rPr>
    </w:lvl>
    <w:lvl w:ilvl="5">
      <w:start w:val="1"/>
      <w:numFmt w:val="upperLetter"/>
      <w:pStyle w:val="S2Heading6"/>
      <w:lvlText w:val="(%6)"/>
      <w:lvlJc w:val="left"/>
      <w:pPr>
        <w:tabs>
          <w:tab w:val="num" w:pos="2880"/>
        </w:tabs>
        <w:ind w:left="2160" w:firstLine="0"/>
      </w:pPr>
      <w:rPr>
        <w:rFonts w:hint="default"/>
        <w:color w:val="010000"/>
        <w:u w:val="none"/>
      </w:rPr>
    </w:lvl>
    <w:lvl w:ilvl="6">
      <w:start w:val="27"/>
      <w:numFmt w:val="none"/>
      <w:pStyle w:val="S2Heading7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7">
      <w:start w:val="1"/>
      <w:numFmt w:val="none"/>
      <w:pStyle w:val="S2Heading8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  <w:lvl w:ilvl="8">
      <w:start w:val="1"/>
      <w:numFmt w:val="none"/>
      <w:pStyle w:val="S2Heading9"/>
      <w:suff w:val="nothing"/>
      <w:lvlText w:val=""/>
      <w:lvlJc w:val="left"/>
      <w:pPr>
        <w:ind w:left="0" w:firstLine="0"/>
      </w:pPr>
      <w:rPr>
        <w:rFonts w:hint="default"/>
        <w:color w:val="010000"/>
        <w:u w:val="none"/>
      </w:rPr>
    </w:lvl>
  </w:abstractNum>
  <w:abstractNum w:abstractNumId="29" w15:restartNumberingAfterBreak="0">
    <w:nsid w:val="7FBD5430"/>
    <w:multiLevelType w:val="hybridMultilevel"/>
    <w:tmpl w:val="9CB2C5B0"/>
    <w:lvl w:ilvl="0" w:tplc="8CC00E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18"/>
  </w:num>
  <w:num w:numId="6">
    <w:abstractNumId w:val="12"/>
  </w:num>
  <w:num w:numId="7">
    <w:abstractNumId w:val="22"/>
  </w:num>
  <w:num w:numId="8">
    <w:abstractNumId w:val="21"/>
  </w:num>
  <w:num w:numId="9">
    <w:abstractNumId w:val="19"/>
  </w:num>
  <w:num w:numId="10">
    <w:abstractNumId w:val="5"/>
  </w:num>
  <w:num w:numId="11">
    <w:abstractNumId w:val="29"/>
  </w:num>
  <w:num w:numId="12">
    <w:abstractNumId w:val="6"/>
  </w:num>
  <w:num w:numId="13">
    <w:abstractNumId w:val="10"/>
  </w:num>
  <w:num w:numId="14">
    <w:abstractNumId w:val="28"/>
  </w:num>
  <w:num w:numId="15">
    <w:abstractNumId w:val="15"/>
  </w:num>
  <w:num w:numId="16">
    <w:abstractNumId w:val="20"/>
  </w:num>
  <w:num w:numId="17">
    <w:abstractNumId w:val="24"/>
  </w:num>
  <w:num w:numId="18">
    <w:abstractNumId w:val="4"/>
  </w:num>
  <w:num w:numId="19">
    <w:abstractNumId w:val="13"/>
  </w:num>
  <w:num w:numId="20">
    <w:abstractNumId w:val="9"/>
  </w:num>
  <w:num w:numId="21">
    <w:abstractNumId w:val="14"/>
  </w:num>
  <w:num w:numId="22">
    <w:abstractNumId w:val="27"/>
  </w:num>
  <w:num w:numId="23">
    <w:abstractNumId w:val="2"/>
  </w:num>
  <w:num w:numId="24">
    <w:abstractNumId w:val="17"/>
  </w:num>
  <w:num w:numId="25">
    <w:abstractNumId w:val="0"/>
  </w:num>
  <w:num w:numId="26">
    <w:abstractNumId w:val="25"/>
  </w:num>
  <w:num w:numId="27">
    <w:abstractNumId w:val="26"/>
  </w:num>
  <w:num w:numId="28">
    <w:abstractNumId w:val="23"/>
  </w:num>
  <w:num w:numId="29">
    <w:abstractNumId w:val="8"/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Author" w:val="False"/>
    <w:docVar w:name="DocIDClientMatter" w:val="False"/>
    <w:docVar w:name="DocIDDate" w:val="True"/>
    <w:docVar w:name="DocIDDateText" w:val="False"/>
    <w:docVar w:name="DocIDLibrary" w:val="False"/>
    <w:docVar w:name="DocIDTime" w:val="False"/>
    <w:docVar w:name="DocIDType" w:val="AllPages"/>
    <w:docVar w:name="DocIDTypist" w:val="False"/>
    <w:docVar w:name="LegacyDocIDRemoved" w:val="True"/>
  </w:docVars>
  <w:rsids>
    <w:rsidRoot w:val="00054858"/>
    <w:rsid w:val="00036E20"/>
    <w:rsid w:val="0004029B"/>
    <w:rsid w:val="00041F24"/>
    <w:rsid w:val="00051639"/>
    <w:rsid w:val="00054858"/>
    <w:rsid w:val="00067F45"/>
    <w:rsid w:val="00071D50"/>
    <w:rsid w:val="00075B45"/>
    <w:rsid w:val="000A65BA"/>
    <w:rsid w:val="000B407F"/>
    <w:rsid w:val="000B42DF"/>
    <w:rsid w:val="000B5D94"/>
    <w:rsid w:val="000B6B18"/>
    <w:rsid w:val="0012416C"/>
    <w:rsid w:val="00133434"/>
    <w:rsid w:val="001449AC"/>
    <w:rsid w:val="00145054"/>
    <w:rsid w:val="0014613B"/>
    <w:rsid w:val="00165B4C"/>
    <w:rsid w:val="001927EA"/>
    <w:rsid w:val="00194869"/>
    <w:rsid w:val="001A3F43"/>
    <w:rsid w:val="001A5B12"/>
    <w:rsid w:val="001E0202"/>
    <w:rsid w:val="001E5F91"/>
    <w:rsid w:val="001F651F"/>
    <w:rsid w:val="00207F38"/>
    <w:rsid w:val="0021355D"/>
    <w:rsid w:val="00252B80"/>
    <w:rsid w:val="002A2997"/>
    <w:rsid w:val="002A568B"/>
    <w:rsid w:val="002B082A"/>
    <w:rsid w:val="002F2CD5"/>
    <w:rsid w:val="00302444"/>
    <w:rsid w:val="00320007"/>
    <w:rsid w:val="003227AE"/>
    <w:rsid w:val="00323C5D"/>
    <w:rsid w:val="00333AA3"/>
    <w:rsid w:val="003362FB"/>
    <w:rsid w:val="00337A48"/>
    <w:rsid w:val="00350C54"/>
    <w:rsid w:val="00366C14"/>
    <w:rsid w:val="003C10E3"/>
    <w:rsid w:val="003C59B5"/>
    <w:rsid w:val="003E7A16"/>
    <w:rsid w:val="00413903"/>
    <w:rsid w:val="00416682"/>
    <w:rsid w:val="00417F0A"/>
    <w:rsid w:val="00442BEA"/>
    <w:rsid w:val="00443E76"/>
    <w:rsid w:val="004455ED"/>
    <w:rsid w:val="00452137"/>
    <w:rsid w:val="00480CE1"/>
    <w:rsid w:val="004D0891"/>
    <w:rsid w:val="004E04A0"/>
    <w:rsid w:val="004E0EFA"/>
    <w:rsid w:val="004F113F"/>
    <w:rsid w:val="00511B06"/>
    <w:rsid w:val="00523559"/>
    <w:rsid w:val="005236B3"/>
    <w:rsid w:val="0054303D"/>
    <w:rsid w:val="00556DC4"/>
    <w:rsid w:val="00562572"/>
    <w:rsid w:val="005A05EB"/>
    <w:rsid w:val="005C2E10"/>
    <w:rsid w:val="005C5E8E"/>
    <w:rsid w:val="005E3B8B"/>
    <w:rsid w:val="005F323F"/>
    <w:rsid w:val="005F6782"/>
    <w:rsid w:val="005F6BF9"/>
    <w:rsid w:val="00622197"/>
    <w:rsid w:val="00623A2B"/>
    <w:rsid w:val="0062575A"/>
    <w:rsid w:val="0063559C"/>
    <w:rsid w:val="006444AC"/>
    <w:rsid w:val="00646993"/>
    <w:rsid w:val="006672E9"/>
    <w:rsid w:val="00673C78"/>
    <w:rsid w:val="00676796"/>
    <w:rsid w:val="00684511"/>
    <w:rsid w:val="006B6CDD"/>
    <w:rsid w:val="006C6893"/>
    <w:rsid w:val="006D4FC2"/>
    <w:rsid w:val="00711D08"/>
    <w:rsid w:val="00736B24"/>
    <w:rsid w:val="007515A9"/>
    <w:rsid w:val="00756B0F"/>
    <w:rsid w:val="0077052F"/>
    <w:rsid w:val="00770D5D"/>
    <w:rsid w:val="00773150"/>
    <w:rsid w:val="00787160"/>
    <w:rsid w:val="007A4D05"/>
    <w:rsid w:val="007C6CD2"/>
    <w:rsid w:val="007D05E8"/>
    <w:rsid w:val="00831768"/>
    <w:rsid w:val="00842165"/>
    <w:rsid w:val="00847327"/>
    <w:rsid w:val="0086608F"/>
    <w:rsid w:val="00874ED6"/>
    <w:rsid w:val="00876E67"/>
    <w:rsid w:val="00877319"/>
    <w:rsid w:val="008B565F"/>
    <w:rsid w:val="008C258B"/>
    <w:rsid w:val="008C375D"/>
    <w:rsid w:val="008C41D8"/>
    <w:rsid w:val="008D2077"/>
    <w:rsid w:val="008D7217"/>
    <w:rsid w:val="008E26B3"/>
    <w:rsid w:val="008E60AC"/>
    <w:rsid w:val="008E70AD"/>
    <w:rsid w:val="008F6459"/>
    <w:rsid w:val="008F77EE"/>
    <w:rsid w:val="008F7BA9"/>
    <w:rsid w:val="00934CF6"/>
    <w:rsid w:val="00957E98"/>
    <w:rsid w:val="00967176"/>
    <w:rsid w:val="009A10AD"/>
    <w:rsid w:val="009F48FE"/>
    <w:rsid w:val="009F578D"/>
    <w:rsid w:val="009F779A"/>
    <w:rsid w:val="00A00910"/>
    <w:rsid w:val="00A028DC"/>
    <w:rsid w:val="00A14EF1"/>
    <w:rsid w:val="00A278BF"/>
    <w:rsid w:val="00A30648"/>
    <w:rsid w:val="00A30EE4"/>
    <w:rsid w:val="00A44FEF"/>
    <w:rsid w:val="00A4570A"/>
    <w:rsid w:val="00A46CE8"/>
    <w:rsid w:val="00A8452C"/>
    <w:rsid w:val="00A8709D"/>
    <w:rsid w:val="00A91E9F"/>
    <w:rsid w:val="00A94075"/>
    <w:rsid w:val="00AB6DB4"/>
    <w:rsid w:val="00AC040B"/>
    <w:rsid w:val="00AD4571"/>
    <w:rsid w:val="00AE5535"/>
    <w:rsid w:val="00B06DBD"/>
    <w:rsid w:val="00B10F5A"/>
    <w:rsid w:val="00B140BF"/>
    <w:rsid w:val="00B14F62"/>
    <w:rsid w:val="00B15867"/>
    <w:rsid w:val="00B34C67"/>
    <w:rsid w:val="00B41E94"/>
    <w:rsid w:val="00B51306"/>
    <w:rsid w:val="00B82040"/>
    <w:rsid w:val="00B84CB8"/>
    <w:rsid w:val="00B93185"/>
    <w:rsid w:val="00B963A8"/>
    <w:rsid w:val="00BA3EA6"/>
    <w:rsid w:val="00BC3F29"/>
    <w:rsid w:val="00BF4680"/>
    <w:rsid w:val="00C21FAC"/>
    <w:rsid w:val="00C3101D"/>
    <w:rsid w:val="00C36F1F"/>
    <w:rsid w:val="00C3798A"/>
    <w:rsid w:val="00C6697C"/>
    <w:rsid w:val="00C748BE"/>
    <w:rsid w:val="00CA7580"/>
    <w:rsid w:val="00CB65F9"/>
    <w:rsid w:val="00CD3639"/>
    <w:rsid w:val="00D074A2"/>
    <w:rsid w:val="00D16CA7"/>
    <w:rsid w:val="00D20324"/>
    <w:rsid w:val="00D54EB8"/>
    <w:rsid w:val="00D608C6"/>
    <w:rsid w:val="00D85AD4"/>
    <w:rsid w:val="00D87623"/>
    <w:rsid w:val="00DB17FF"/>
    <w:rsid w:val="00DB1915"/>
    <w:rsid w:val="00DC62A6"/>
    <w:rsid w:val="00DC7FCF"/>
    <w:rsid w:val="00DE1781"/>
    <w:rsid w:val="00DE6AB9"/>
    <w:rsid w:val="00E32921"/>
    <w:rsid w:val="00E50304"/>
    <w:rsid w:val="00E561F2"/>
    <w:rsid w:val="00E9734B"/>
    <w:rsid w:val="00EA7776"/>
    <w:rsid w:val="00EB1462"/>
    <w:rsid w:val="00ED4BDD"/>
    <w:rsid w:val="00EF1DEA"/>
    <w:rsid w:val="00EF41AD"/>
    <w:rsid w:val="00EF56D2"/>
    <w:rsid w:val="00F35DF5"/>
    <w:rsid w:val="00F43A99"/>
    <w:rsid w:val="00F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FDC0F"/>
  <w15:docId w15:val="{6F06C70F-A057-4119-85DE-8CE313E7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Bidi" w:hAnsiTheme="minorBidi"/>
      <w:sz w:val="20"/>
    </w:rPr>
  </w:style>
  <w:style w:type="paragraph" w:styleId="Heading1">
    <w:name w:val="heading 1"/>
    <w:basedOn w:val="Normal"/>
    <w:next w:val="Normal"/>
    <w:link w:val="Heading1Char"/>
    <w:qFormat/>
    <w:pPr>
      <w:spacing w:before="200" w:after="0"/>
      <w:contextualSpacing/>
      <w:outlineLvl w:val="0"/>
    </w:pPr>
    <w:rPr>
      <w:rFonts w:eastAsiaTheme="majorEastAsia"/>
      <w:b/>
      <w:bCs/>
      <w:sz w:val="26"/>
      <w:szCs w:val="26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200" w:after="0"/>
      <w:outlineLvl w:val="1"/>
    </w:pPr>
    <w:rPr>
      <w:rFonts w:eastAsiaTheme="majorEastAsia"/>
      <w:b/>
      <w:bCs/>
      <w:sz w:val="24"/>
      <w:szCs w:val="26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pPr>
      <w:spacing w:before="200" w:after="0" w:line="271" w:lineRule="auto"/>
      <w:outlineLvl w:val="2"/>
    </w:pPr>
    <w:rPr>
      <w:rFonts w:eastAsiaTheme="majorEastAsia"/>
      <w:b/>
      <w:bCs/>
      <w:sz w:val="22"/>
      <w:lang w:val="en-AU"/>
    </w:rPr>
  </w:style>
  <w:style w:type="paragraph" w:styleId="Heading4">
    <w:name w:val="heading 4"/>
    <w:basedOn w:val="Normal"/>
    <w:link w:val="Heading4Char"/>
    <w:unhideWhenUsed/>
    <w:qFormat/>
    <w:rsid w:val="00036E20"/>
    <w:pPr>
      <w:tabs>
        <w:tab w:val="num" w:pos="1440"/>
      </w:tabs>
      <w:spacing w:line="246" w:lineRule="atLeast"/>
      <w:ind w:left="1440" w:hanging="720"/>
      <w:jc w:val="both"/>
      <w:outlineLvl w:val="3"/>
    </w:pPr>
    <w:rPr>
      <w:rFonts w:ascii="Times New Roman" w:eastAsiaTheme="majorEastAsia" w:hAnsi="Times New Roman" w:cs="Times New Roman"/>
      <w:bCs/>
      <w:iCs/>
      <w:szCs w:val="24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inorBidi" w:eastAsiaTheme="majorEastAsia" w:hAnsiTheme="minorBidi"/>
      <w:b/>
      <w:bCs/>
      <w:sz w:val="26"/>
      <w:szCs w:val="2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inorBidi" w:eastAsiaTheme="majorEastAsia" w:hAnsiTheme="minorBidi"/>
      <w:b/>
      <w:bCs/>
      <w:sz w:val="24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inorBidi" w:eastAsiaTheme="majorEastAsia" w:hAnsiTheme="minorBidi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tabs>
        <w:tab w:val="left" w:pos="720"/>
        <w:tab w:val="left" w:pos="1440"/>
        <w:tab w:val="left" w:pos="3710"/>
      </w:tabs>
      <w:spacing w:before="320" w:line="240" w:lineRule="auto"/>
      <w:contextualSpacing/>
    </w:pPr>
    <w:rPr>
      <w:rFonts w:eastAsiaTheme="majorEastAsia"/>
      <w:b/>
      <w:bCs/>
      <w:caps/>
      <w:color w:val="C00000"/>
      <w:spacing w:val="5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inorBidi" w:eastAsiaTheme="majorEastAsia" w:hAnsiTheme="minorBidi"/>
      <w:b/>
      <w:bCs/>
      <w:caps/>
      <w:color w:val="C00000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eastAsiaTheme="majorEastAsia"/>
      <w:b/>
      <w:bCs/>
      <w:iCs/>
      <w:spacing w:val="13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Bidi" w:eastAsiaTheme="majorEastAsia" w:hAnsiTheme="minorBidi"/>
      <w:b/>
      <w:bCs/>
      <w:iCs/>
      <w:spacing w:val="13"/>
      <w:sz w:val="28"/>
      <w:szCs w:val="28"/>
      <w:lang w:val="en-AU"/>
    </w:rPr>
  </w:style>
  <w:style w:type="character" w:styleId="Strong">
    <w:name w:val="Strong"/>
    <w:uiPriority w:val="22"/>
    <w:rPr>
      <w:b/>
      <w:bCs/>
    </w:rPr>
  </w:style>
  <w:style w:type="paragraph" w:styleId="NoSpacing">
    <w:name w:val="No Spacing"/>
    <w:basedOn w:val="Normal"/>
    <w:link w:val="NoSpacingChar"/>
    <w:uiPriority w:val="1"/>
    <w:qFormat/>
    <w:pPr>
      <w:spacing w:after="0" w:line="240" w:lineRule="auto"/>
    </w:pPr>
    <w:rPr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Bidi" w:hAnsiTheme="minorBidi"/>
      <w:sz w:val="20"/>
      <w:szCs w:val="20"/>
    </w:rPr>
  </w:style>
  <w:style w:type="paragraph" w:styleId="ListParagraph">
    <w:name w:val="List Paragraph"/>
    <w:basedOn w:val="Normal"/>
    <w:uiPriority w:val="34"/>
    <w:qFormat/>
    <w:pPr>
      <w:contextualSpacing/>
    </w:pPr>
    <w:rPr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link w:val="Quote"/>
    <w:uiPriority w:val="29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ubjectText">
    <w:name w:val="Subject Text"/>
    <w:basedOn w:val="Normal"/>
    <w:link w:val="SubjectTextChar"/>
    <w:qFormat/>
    <w:rPr>
      <w:b/>
      <w:bCs/>
      <w:sz w:val="22"/>
    </w:rPr>
  </w:style>
  <w:style w:type="character" w:customStyle="1" w:styleId="SubjectTextChar">
    <w:name w:val="Subject Text Char"/>
    <w:basedOn w:val="DefaultParagraphFont"/>
    <w:link w:val="SubjectText"/>
    <w:rPr>
      <w:rFonts w:asciiTheme="minorBidi" w:hAnsiTheme="minorBidi"/>
      <w:b/>
      <w:bCs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Pr>
      <w:rFonts w:asciiTheme="minorBidi" w:hAnsi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Bidi" w:hAnsiTheme="minorBidi"/>
      <w:sz w:val="20"/>
    </w:rPr>
  </w:style>
  <w:style w:type="character" w:styleId="PageNumber">
    <w:name w:val="page number"/>
    <w:basedOn w:val="DefaultParagraphFont"/>
  </w:style>
  <w:style w:type="paragraph" w:customStyle="1" w:styleId="BodyText1">
    <w:name w:val="Body Text1"/>
    <w:basedOn w:val="Heading1"/>
    <w:pPr>
      <w:keepNext/>
      <w:spacing w:before="240" w:after="60" w:line="240" w:lineRule="auto"/>
      <w:ind w:left="170"/>
      <w:contextualSpacing w:val="0"/>
    </w:pPr>
    <w:rPr>
      <w:rFonts w:ascii="Arial" w:eastAsia="Times New Roman" w:hAnsi="Arial" w:cs="Times New Roman"/>
      <w:b w:val="0"/>
      <w:kern w:val="32"/>
      <w:sz w:val="22"/>
      <w:szCs w:val="32"/>
      <w:lang w:val="en-US"/>
    </w:rPr>
  </w:style>
  <w:style w:type="character" w:customStyle="1" w:styleId="longtext">
    <w:name w:val="long_tex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Frutiger LT 45 Light" w:eastAsia="Times New Roman" w:hAnsi="Frutiger LT 45 Light" w:cs="Frutiger LT 45 Light"/>
      <w:color w:val="000000"/>
      <w:sz w:val="24"/>
      <w:szCs w:val="24"/>
      <w:lang w:val="en-US"/>
    </w:rPr>
  </w:style>
  <w:style w:type="numbering" w:customStyle="1" w:styleId="NoList2">
    <w:name w:val="No List2"/>
    <w:next w:val="NoList"/>
    <w:semiHidden/>
  </w:style>
  <w:style w:type="numbering" w:customStyle="1" w:styleId="NoList3">
    <w:name w:val="No List3"/>
    <w:next w:val="NoList"/>
    <w:semiHidden/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nhideWhenUsed/>
    <w:qFormat/>
    <w:pPr>
      <w:spacing w:before="200" w:after="0" w:line="240" w:lineRule="auto"/>
      <w:outlineLvl w:val="1"/>
    </w:pPr>
    <w:rPr>
      <w:rFonts w:ascii="Arial" w:eastAsia="PMingLiU" w:hAnsi="Arial" w:cs="Times New Roman"/>
      <w:b/>
      <w:bCs/>
      <w:sz w:val="24"/>
      <w:szCs w:val="26"/>
      <w:lang w:val="en-AU"/>
    </w:rPr>
  </w:style>
  <w:style w:type="paragraph" w:customStyle="1" w:styleId="Heading31">
    <w:name w:val="Heading 31"/>
    <w:basedOn w:val="Normal"/>
    <w:next w:val="Normal"/>
    <w:uiPriority w:val="9"/>
    <w:unhideWhenUsed/>
    <w:qFormat/>
    <w:pPr>
      <w:spacing w:before="200" w:after="0" w:line="271" w:lineRule="auto"/>
      <w:outlineLvl w:val="2"/>
    </w:pPr>
    <w:rPr>
      <w:rFonts w:ascii="Arial" w:eastAsia="PMingLiU" w:hAnsi="Arial" w:cs="Times New Roman"/>
      <w:b/>
      <w:bCs/>
      <w:sz w:val="22"/>
      <w:lang w:val="en-AU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pPr>
      <w:spacing w:before="200" w:after="0" w:line="240" w:lineRule="auto"/>
      <w:outlineLvl w:val="4"/>
    </w:pPr>
    <w:rPr>
      <w:rFonts w:ascii="Cambria" w:eastAsia="PMingLiU" w:hAnsi="Cambria" w:cs="Times New Roman"/>
      <w:b/>
      <w:bCs/>
      <w:color w:val="7F7F7F"/>
      <w:sz w:val="22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pPr>
      <w:spacing w:after="0" w:line="271" w:lineRule="auto"/>
      <w:outlineLvl w:val="5"/>
    </w:pPr>
    <w:rPr>
      <w:rFonts w:ascii="Cambria" w:eastAsia="PMingLiU" w:hAnsi="Cambria" w:cs="Times New Roman"/>
      <w:b/>
      <w:bCs/>
      <w:i/>
      <w:iCs/>
      <w:color w:val="7F7F7F"/>
      <w:sz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pPr>
      <w:spacing w:after="0" w:line="240" w:lineRule="auto"/>
      <w:outlineLvl w:val="6"/>
    </w:pPr>
    <w:rPr>
      <w:rFonts w:ascii="Cambria" w:eastAsia="PMingLiU" w:hAnsi="Cambria" w:cs="Times New Roman"/>
      <w:i/>
      <w:iCs/>
      <w:sz w:val="22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pPr>
      <w:spacing w:after="0" w:line="240" w:lineRule="auto"/>
      <w:outlineLvl w:val="7"/>
    </w:pPr>
    <w:rPr>
      <w:rFonts w:ascii="Cambria" w:eastAsia="PMingLiU" w:hAnsi="Cambria" w:cs="Times New Roman"/>
      <w:sz w:val="22"/>
      <w:szCs w:val="20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pPr>
      <w:spacing w:after="0" w:line="240" w:lineRule="auto"/>
      <w:outlineLvl w:val="8"/>
    </w:pPr>
    <w:rPr>
      <w:rFonts w:ascii="Cambria" w:eastAsia="PMingLiU" w:hAnsi="Cambria" w:cs="Times New Roman"/>
      <w:i/>
      <w:iCs/>
      <w:spacing w:val="5"/>
      <w:sz w:val="22"/>
      <w:szCs w:val="20"/>
      <w:lang w:val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pPr>
      <w:spacing w:after="0" w:line="240" w:lineRule="auto"/>
    </w:pPr>
    <w:rPr>
      <w:rFonts w:ascii="Arial" w:eastAsia="Times New Roman" w:hAnsi="Arial" w:cs="Times New Roman"/>
      <w:b/>
      <w:bCs/>
      <w:color w:val="4F81BD"/>
      <w:sz w:val="18"/>
      <w:szCs w:val="18"/>
      <w:lang w:val="en-US"/>
    </w:rPr>
  </w:style>
  <w:style w:type="paragraph" w:customStyle="1" w:styleId="Title1">
    <w:name w:val="Title1"/>
    <w:basedOn w:val="Normal"/>
    <w:next w:val="Normal"/>
    <w:uiPriority w:val="10"/>
    <w:qFormat/>
    <w:pPr>
      <w:tabs>
        <w:tab w:val="left" w:pos="720"/>
        <w:tab w:val="left" w:pos="1440"/>
        <w:tab w:val="left" w:pos="3710"/>
      </w:tabs>
      <w:spacing w:before="320" w:after="0" w:line="240" w:lineRule="auto"/>
      <w:contextualSpacing/>
    </w:pPr>
    <w:rPr>
      <w:rFonts w:ascii="Arial" w:eastAsia="PMingLiU" w:hAnsi="Arial" w:cs="Times New Roman"/>
      <w:b/>
      <w:bCs/>
      <w:caps/>
      <w:color w:val="C00000"/>
      <w:spacing w:val="5"/>
      <w:sz w:val="32"/>
      <w:szCs w:val="32"/>
      <w:lang w:val="en-US"/>
    </w:rPr>
  </w:style>
  <w:style w:type="paragraph" w:customStyle="1" w:styleId="Subtitle1">
    <w:name w:val="Subtitle1"/>
    <w:basedOn w:val="Normal"/>
    <w:next w:val="Normal"/>
    <w:uiPriority w:val="11"/>
    <w:qFormat/>
    <w:pPr>
      <w:spacing w:after="600" w:line="240" w:lineRule="auto"/>
    </w:pPr>
    <w:rPr>
      <w:rFonts w:ascii="Arial" w:eastAsia="PMingLiU" w:hAnsi="Arial" w:cs="Times New Roman"/>
      <w:b/>
      <w:bCs/>
      <w:iCs/>
      <w:spacing w:val="13"/>
      <w:sz w:val="28"/>
      <w:szCs w:val="28"/>
      <w:lang w:val="en-AU"/>
    </w:rPr>
  </w:style>
  <w:style w:type="paragraph" w:customStyle="1" w:styleId="Quote1">
    <w:name w:val="Quote1"/>
    <w:basedOn w:val="Normal"/>
    <w:next w:val="Normal"/>
    <w:uiPriority w:val="29"/>
    <w:pPr>
      <w:spacing w:before="200" w:after="0" w:line="240" w:lineRule="auto"/>
      <w:ind w:left="360" w:right="360"/>
    </w:pPr>
    <w:rPr>
      <w:rFonts w:ascii="Calibri" w:eastAsia="Times New Roman" w:hAnsi="Calibri" w:cs="Times New Roman"/>
      <w:i/>
      <w:iCs/>
      <w:sz w:val="22"/>
      <w:lang w:val="en-US"/>
    </w:rPr>
  </w:style>
  <w:style w:type="paragraph" w:customStyle="1" w:styleId="NormalWeb1">
    <w:name w:val="Normal (Web)1"/>
    <w:basedOn w:val="Normal"/>
    <w:next w:val="NormalWeb"/>
    <w:uiPriority w:val="99"/>
    <w:unhideWhenUsed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en-GB"/>
    </w:rPr>
  </w:style>
  <w:style w:type="numbering" w:customStyle="1" w:styleId="NoList111">
    <w:name w:val="No List111"/>
    <w:next w:val="NoList"/>
    <w:semiHidden/>
  </w:style>
  <w:style w:type="character" w:customStyle="1" w:styleId="Heading2Char1">
    <w:name w:val="Heading 2 Char1"/>
    <w:basedOn w:val="DefaultParagraphFont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3Char1">
    <w:name w:val="Heading 3 Char1"/>
    <w:basedOn w:val="DefaultParagraphFont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5Char1">
    <w:name w:val="Heading 5 Char1"/>
    <w:basedOn w:val="DefaultParagraphFont"/>
    <w:semiHidden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1">
    <w:name w:val="Heading 6 Char1"/>
    <w:basedOn w:val="DefaultParagraphFont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Heading7Char1">
    <w:name w:val="Heading 7 Char1"/>
    <w:basedOn w:val="DefaultParagraphFont"/>
    <w:semiHidden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1">
    <w:name w:val="Heading 8 Char1"/>
    <w:basedOn w:val="DefaultParagraphFont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1">
    <w:name w:val="Heading 9 Char1"/>
    <w:basedOn w:val="DefaultParagraphFont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TitleChar1">
    <w:name w:val="Title Char1"/>
    <w:basedOn w:val="DefaultParagraphFont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SubtitleChar1">
    <w:name w:val="Subtitle Char1"/>
    <w:basedOn w:val="DefaultParagraphFont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QuoteChar1">
    <w:name w:val="Quote Char1"/>
    <w:basedOn w:val="DefaultParagraphFont"/>
    <w:uiPriority w:val="29"/>
    <w:rPr>
      <w:rFonts w:ascii="Arial" w:hAnsi="Arial"/>
      <w:i/>
      <w:iCs/>
      <w:color w:val="000000" w:themeColor="text1"/>
      <w:sz w:val="22"/>
      <w:szCs w:val="22"/>
      <w:lang w:val="en-US" w:eastAsia="en-US"/>
    </w:rPr>
  </w:style>
  <w:style w:type="numbering" w:customStyle="1" w:styleId="NoList4">
    <w:name w:val="No List4"/>
    <w:next w:val="NoList"/>
    <w:uiPriority w:val="99"/>
    <w:semiHidden/>
    <w:unhideWhenUsed/>
  </w:style>
  <w:style w:type="paragraph" w:customStyle="1" w:styleId="Caption2">
    <w:name w:val="Caption2"/>
    <w:basedOn w:val="Normal"/>
    <w:next w:val="Normal"/>
    <w:uiPriority w:val="35"/>
    <w:semiHidden/>
    <w:unhideWhenUsed/>
    <w:qFormat/>
    <w:pPr>
      <w:spacing w:after="0" w:line="240" w:lineRule="auto"/>
    </w:pPr>
    <w:rPr>
      <w:rFonts w:ascii="Arial" w:eastAsia="Times New Roman" w:hAnsi="Arial" w:cs="Times New Roman"/>
      <w:b/>
      <w:bCs/>
      <w:color w:val="4F81BD"/>
      <w:sz w:val="18"/>
      <w:szCs w:val="18"/>
      <w:lang w:val="en-US"/>
    </w:rPr>
  </w:style>
  <w:style w:type="numbering" w:customStyle="1" w:styleId="NoList12">
    <w:name w:val="No List12"/>
    <w:next w:val="NoList"/>
    <w:semiHidden/>
  </w:style>
  <w:style w:type="numbering" w:customStyle="1" w:styleId="NoList21">
    <w:name w:val="No List21"/>
    <w:next w:val="NoList"/>
    <w:semiHidden/>
  </w:style>
  <w:style w:type="numbering" w:customStyle="1" w:styleId="NoList31">
    <w:name w:val="No List31"/>
    <w:next w:val="NoList"/>
    <w:semiHidden/>
  </w:style>
  <w:style w:type="table" w:customStyle="1" w:styleId="TableGrid11">
    <w:name w:val="Table Grid1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Section"/>
    <w:pPr>
      <w:pageBreakBefore/>
      <w:numPr>
        <w:numId w:val="4"/>
      </w:numPr>
      <w:overflowPunct w:val="0"/>
      <w:autoSpaceDE w:val="0"/>
      <w:autoSpaceDN w:val="0"/>
      <w:adjustRightInd w:val="0"/>
      <w:spacing w:before="80" w:after="100" w:line="260" w:lineRule="atLeast"/>
      <w:textAlignment w:val="baseline"/>
      <w:outlineLvl w:val="0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Section">
    <w:name w:val="Section"/>
    <w:basedOn w:val="Normal"/>
    <w:next w:val="Normal"/>
    <w:link w:val="SectionChar"/>
    <w:pPr>
      <w:numPr>
        <w:ilvl w:val="1"/>
        <w:numId w:val="4"/>
      </w:numPr>
      <w:overflowPunct w:val="0"/>
      <w:autoSpaceDE w:val="0"/>
      <w:autoSpaceDN w:val="0"/>
      <w:adjustRightInd w:val="0"/>
      <w:spacing w:before="80" w:after="100" w:line="260" w:lineRule="atLeast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SectionChar">
    <w:name w:val="Section Char"/>
    <w:link w:val="Section"/>
    <w:rPr>
      <w:rFonts w:ascii="Arial" w:eastAsia="Times New Roman" w:hAnsi="Arial" w:cs="Times New Roman"/>
      <w:b/>
      <w:sz w:val="28"/>
      <w:szCs w:val="20"/>
    </w:rPr>
  </w:style>
  <w:style w:type="character" w:customStyle="1" w:styleId="subparatext">
    <w:name w:val="subparatext"/>
    <w:rPr>
      <w:sz w:val="22"/>
      <w:szCs w:val="22"/>
      <w:shd w:val="clear" w:color="auto" w:fill="FFFFFF"/>
    </w:rPr>
  </w:style>
  <w:style w:type="character" w:customStyle="1" w:styleId="me">
    <w:name w:val="me"/>
    <w:basedOn w:val="DefaultParagraphFont"/>
  </w:style>
  <w:style w:type="character" w:customStyle="1" w:styleId="DocID">
    <w:name w:val="DocID"/>
    <w:basedOn w:val="DefaultParagraphFont"/>
    <w:rPr>
      <w:rFonts w:ascii="Arial" w:eastAsia="Times New Roman" w:hAnsi="Arial" w:cs="Arial"/>
      <w:b w:val="0"/>
      <w:i w:val="0"/>
      <w:caps w:val="0"/>
      <w:vanish w:val="0"/>
      <w:color w:val="000000"/>
      <w:sz w:val="16"/>
      <w:szCs w:val="20"/>
      <w:u w:val="non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D0891"/>
    <w:pPr>
      <w:widowControl w:val="0"/>
      <w:spacing w:after="0" w:line="240" w:lineRule="auto"/>
      <w:ind w:left="2739" w:hanging="720"/>
    </w:pPr>
    <w:rPr>
      <w:rFonts w:ascii="Arial" w:eastAsia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0891"/>
    <w:rPr>
      <w:rFonts w:ascii="Arial" w:eastAsia="Arial" w:hAnsi="Arial"/>
      <w:lang w:val="en-US"/>
    </w:rPr>
  </w:style>
  <w:style w:type="character" w:customStyle="1" w:styleId="Heading4Char">
    <w:name w:val="Heading 4 Char"/>
    <w:basedOn w:val="DefaultParagraphFont"/>
    <w:link w:val="Heading4"/>
    <w:rsid w:val="00036E20"/>
    <w:rPr>
      <w:rFonts w:ascii="Times New Roman" w:eastAsiaTheme="majorEastAsia" w:hAnsi="Times New Roman" w:cs="Times New Roman"/>
      <w:bCs/>
      <w:iCs/>
      <w:sz w:val="20"/>
      <w:szCs w:val="24"/>
      <w:lang w:val="en-US"/>
    </w:rPr>
  </w:style>
  <w:style w:type="paragraph" w:customStyle="1" w:styleId="BodyTextNumbered">
    <w:name w:val="Body Text Numbered"/>
    <w:basedOn w:val="Normal"/>
    <w:qFormat/>
    <w:rsid w:val="00036E20"/>
    <w:pPr>
      <w:numPr>
        <w:numId w:val="12"/>
      </w:numPr>
      <w:spacing w:after="240" w:line="240" w:lineRule="auto"/>
    </w:pPr>
    <w:rPr>
      <w:rFonts w:ascii="Times New Roman" w:hAnsi="Times New Roman"/>
      <w:szCs w:val="24"/>
      <w:lang w:val="en-US"/>
    </w:rPr>
  </w:style>
  <w:style w:type="paragraph" w:customStyle="1" w:styleId="S2Heading1">
    <w:name w:val="S2.Heading 1"/>
    <w:basedOn w:val="Normal"/>
    <w:next w:val="S2Heading2"/>
    <w:rsid w:val="00036E20"/>
    <w:pPr>
      <w:keepNext/>
      <w:numPr>
        <w:numId w:val="14"/>
      </w:numPr>
      <w:spacing w:after="240" w:line="240" w:lineRule="auto"/>
      <w:jc w:val="center"/>
      <w:outlineLvl w:val="0"/>
    </w:pPr>
    <w:rPr>
      <w:rFonts w:ascii="Times New Roman" w:eastAsiaTheme="majorEastAsia" w:hAnsi="Times New Roman" w:cs="Times New Roman"/>
      <w:b/>
      <w:caps/>
      <w:color w:val="000000"/>
      <w:szCs w:val="28"/>
      <w:lang w:val="en-US"/>
    </w:rPr>
  </w:style>
  <w:style w:type="paragraph" w:customStyle="1" w:styleId="S2Heading2">
    <w:name w:val="S2.Heading 2"/>
    <w:basedOn w:val="Normal"/>
    <w:rsid w:val="00036E20"/>
    <w:pPr>
      <w:keepNext/>
      <w:numPr>
        <w:ilvl w:val="1"/>
        <w:numId w:val="14"/>
      </w:numPr>
      <w:spacing w:after="240" w:line="246" w:lineRule="atLeast"/>
      <w:jc w:val="both"/>
      <w:outlineLvl w:val="1"/>
    </w:pPr>
    <w:rPr>
      <w:rFonts w:ascii="Times New Roman" w:eastAsiaTheme="majorEastAsia" w:hAnsi="Times New Roman" w:cs="Times New Roman"/>
      <w:b/>
      <w:szCs w:val="28"/>
      <w:lang w:val="en-US"/>
    </w:rPr>
  </w:style>
  <w:style w:type="paragraph" w:customStyle="1" w:styleId="S2Heading3">
    <w:name w:val="S2.Heading 3"/>
    <w:basedOn w:val="Normal"/>
    <w:rsid w:val="00036E20"/>
    <w:pPr>
      <w:numPr>
        <w:ilvl w:val="2"/>
        <w:numId w:val="14"/>
      </w:numPr>
      <w:spacing w:after="240" w:line="246" w:lineRule="atLeast"/>
      <w:jc w:val="both"/>
      <w:outlineLvl w:val="2"/>
    </w:pPr>
    <w:rPr>
      <w:rFonts w:ascii="Times New Roman" w:eastAsiaTheme="majorEastAsia" w:hAnsi="Times New Roman" w:cs="Times New Roman"/>
      <w:szCs w:val="28"/>
      <w:lang w:val="en-US"/>
    </w:rPr>
  </w:style>
  <w:style w:type="paragraph" w:customStyle="1" w:styleId="S2Heading4">
    <w:name w:val="S2.Heading 4"/>
    <w:basedOn w:val="Normal"/>
    <w:rsid w:val="00036E20"/>
    <w:pPr>
      <w:numPr>
        <w:ilvl w:val="3"/>
        <w:numId w:val="14"/>
      </w:numPr>
      <w:spacing w:after="240" w:line="246" w:lineRule="atLeast"/>
      <w:jc w:val="both"/>
      <w:outlineLvl w:val="3"/>
    </w:pPr>
    <w:rPr>
      <w:rFonts w:ascii="Times New Roman" w:eastAsiaTheme="majorEastAsia" w:hAnsi="Times New Roman" w:cs="Times New Roman"/>
      <w:szCs w:val="28"/>
      <w:lang w:val="en-US"/>
    </w:rPr>
  </w:style>
  <w:style w:type="paragraph" w:customStyle="1" w:styleId="S2Heading5">
    <w:name w:val="S2.Heading 5"/>
    <w:basedOn w:val="Normal"/>
    <w:rsid w:val="00036E20"/>
    <w:pPr>
      <w:numPr>
        <w:ilvl w:val="4"/>
        <w:numId w:val="14"/>
      </w:numPr>
      <w:spacing w:after="240" w:line="246" w:lineRule="atLeast"/>
      <w:jc w:val="both"/>
      <w:outlineLvl w:val="4"/>
    </w:pPr>
    <w:rPr>
      <w:rFonts w:ascii="Times New Roman" w:eastAsiaTheme="majorEastAsia" w:hAnsi="Times New Roman" w:cs="Times New Roman"/>
      <w:szCs w:val="28"/>
      <w:lang w:val="en-US"/>
    </w:rPr>
  </w:style>
  <w:style w:type="paragraph" w:customStyle="1" w:styleId="S2Heading6">
    <w:name w:val="S2.Heading 6"/>
    <w:basedOn w:val="Normal"/>
    <w:rsid w:val="00036E20"/>
    <w:pPr>
      <w:numPr>
        <w:ilvl w:val="5"/>
        <w:numId w:val="14"/>
      </w:numPr>
      <w:spacing w:after="240" w:line="246" w:lineRule="atLeast"/>
      <w:jc w:val="both"/>
      <w:outlineLvl w:val="5"/>
    </w:pPr>
    <w:rPr>
      <w:rFonts w:ascii="Times New Roman" w:eastAsiaTheme="majorEastAsia" w:hAnsi="Times New Roman" w:cs="Times New Roman"/>
      <w:szCs w:val="28"/>
      <w:lang w:val="en-US"/>
    </w:rPr>
  </w:style>
  <w:style w:type="paragraph" w:customStyle="1" w:styleId="S2Heading7">
    <w:name w:val="S2.Heading 7"/>
    <w:basedOn w:val="Normal"/>
    <w:rsid w:val="00036E20"/>
    <w:pPr>
      <w:numPr>
        <w:ilvl w:val="6"/>
        <w:numId w:val="14"/>
      </w:numPr>
      <w:spacing w:after="240" w:line="246" w:lineRule="atLeast"/>
      <w:jc w:val="both"/>
      <w:outlineLvl w:val="6"/>
    </w:pPr>
    <w:rPr>
      <w:rFonts w:ascii="Times New Roman" w:eastAsiaTheme="majorEastAsia" w:hAnsi="Times New Roman" w:cs="Times New Roman"/>
      <w:szCs w:val="28"/>
      <w:lang w:val="en-US"/>
    </w:rPr>
  </w:style>
  <w:style w:type="paragraph" w:customStyle="1" w:styleId="S2Heading8">
    <w:name w:val="S2.Heading 8"/>
    <w:basedOn w:val="Normal"/>
    <w:rsid w:val="00036E20"/>
    <w:pPr>
      <w:numPr>
        <w:ilvl w:val="7"/>
        <w:numId w:val="14"/>
      </w:numPr>
      <w:spacing w:after="240" w:line="246" w:lineRule="atLeast"/>
      <w:jc w:val="both"/>
      <w:outlineLvl w:val="7"/>
    </w:pPr>
    <w:rPr>
      <w:rFonts w:ascii="Times New Roman" w:eastAsiaTheme="majorEastAsia" w:hAnsi="Times New Roman" w:cs="Times New Roman"/>
      <w:szCs w:val="28"/>
      <w:lang w:val="en-US"/>
    </w:rPr>
  </w:style>
  <w:style w:type="paragraph" w:customStyle="1" w:styleId="S2Heading9">
    <w:name w:val="S2.Heading 9"/>
    <w:basedOn w:val="Normal"/>
    <w:rsid w:val="00036E20"/>
    <w:pPr>
      <w:numPr>
        <w:ilvl w:val="8"/>
        <w:numId w:val="14"/>
      </w:numPr>
      <w:spacing w:after="240" w:line="246" w:lineRule="atLeast"/>
      <w:jc w:val="both"/>
      <w:outlineLvl w:val="8"/>
    </w:pPr>
    <w:rPr>
      <w:rFonts w:ascii="Times New Roman" w:eastAsiaTheme="majorEastAsia" w:hAnsi="Times New Roman" w:cs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FSAfunds@dfsa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Financial Services Authority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Cameron</dc:creator>
  <cp:lastModifiedBy>Christian Cameron</cp:lastModifiedBy>
  <cp:revision>3</cp:revision>
  <cp:lastPrinted>2019-03-11T08:01:00Z</cp:lastPrinted>
  <dcterms:created xsi:type="dcterms:W3CDTF">2019-03-11T09:49:00Z</dcterms:created>
  <dcterms:modified xsi:type="dcterms:W3CDTF">2019-03-11T09:50:00Z</dcterms:modified>
</cp:coreProperties>
</file>